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11C4" w14:textId="77777777" w:rsidR="00DC087A" w:rsidRDefault="00000000">
      <w:pPr>
        <w:spacing w:after="300" w:line="360" w:lineRule="auto"/>
        <w:jc w:val="center"/>
        <w:rPr>
          <w:rFonts w:hint="eastAsia"/>
        </w:rPr>
      </w:pPr>
      <w:r>
        <w:rPr>
          <w:rFonts w:ascii="黑体" w:eastAsia="黑体" w:hAnsi="黑体" w:cs="黑体"/>
          <w:b/>
          <w:bCs/>
          <w:sz w:val="36"/>
          <w:szCs w:val="36"/>
        </w:rPr>
        <w:t>技术方案：基于多模态结构因果模型与虚拟扰动的 ACLF 关键生物标志物挖掘</w:t>
      </w:r>
    </w:p>
    <w:p w14:paraId="6A2D9AF2" w14:textId="77777777" w:rsidR="00DC087A" w:rsidRDefault="00DC087A">
      <w:pPr>
        <w:pBdr>
          <w:bottom w:val="single" w:sz="2" w:space="1" w:color="CCCCCC"/>
        </w:pBdr>
        <w:spacing w:before="80" w:after="80"/>
        <w:rPr>
          <w:rFonts w:hint="eastAsia"/>
        </w:rPr>
      </w:pPr>
    </w:p>
    <w:p w14:paraId="1DB947B9" w14:textId="77777777" w:rsidR="00DC087A" w:rsidRDefault="00000000">
      <w:pPr>
        <w:pStyle w:val="1"/>
        <w:jc w:val="center"/>
        <w:rPr>
          <w:rFonts w:hint="eastAsia"/>
        </w:rPr>
      </w:pPr>
      <w:r>
        <w:t>一、研究</w:t>
      </w:r>
      <w:r>
        <w:rPr>
          <w:rFonts w:hint="eastAsia"/>
        </w:rPr>
        <w:t>背景和科学问题</w:t>
      </w:r>
    </w:p>
    <w:p w14:paraId="6C20998D" w14:textId="77777777" w:rsidR="00DC087A" w:rsidRDefault="00000000">
      <w:pPr>
        <w:pStyle w:val="2"/>
        <w:rPr>
          <w:rFonts w:hint="eastAsia"/>
        </w:rPr>
      </w:pPr>
      <w:r>
        <w:t>1.</w:t>
      </w:r>
      <w:r>
        <w:rPr>
          <w:rFonts w:hint="eastAsia"/>
        </w:rPr>
        <w:t>1</w:t>
      </w:r>
      <w:r>
        <w:t xml:space="preserve"> </w:t>
      </w:r>
      <w:r>
        <w:rPr>
          <w:rFonts w:hint="eastAsia"/>
        </w:rPr>
        <w:t>参考</w:t>
      </w:r>
      <w:r>
        <w:t>文献的关键启发</w:t>
      </w:r>
    </w:p>
    <w:p w14:paraId="4D58725B" w14:textId="77777777" w:rsidR="00DC087A" w:rsidRDefault="00000000">
      <w:pPr>
        <w:spacing w:line="360" w:lineRule="auto"/>
        <w:ind w:firstLine="480"/>
        <w:rPr>
          <w:rFonts w:hint="eastAsia"/>
        </w:rPr>
      </w:pPr>
      <w:r>
        <w:rPr>
          <w:rFonts w:ascii="Times New Roman" w:hAnsi="Times New Roman" w:cs="Times New Roman"/>
        </w:rPr>
        <w:t>前期系统梳理的系列论文为本方案提供了三条核心方法论启示：</w:t>
      </w:r>
    </w:p>
    <w:p w14:paraId="3785C7C5" w14:textId="77777777" w:rsidR="00DC087A" w:rsidRDefault="00000000">
      <w:pPr>
        <w:spacing w:line="360" w:lineRule="auto"/>
        <w:rPr>
          <w:rFonts w:hint="eastAsia"/>
        </w:rPr>
      </w:pPr>
      <w:r>
        <w:rPr>
          <w:rFonts w:ascii="Times New Roman" w:hAnsi="Times New Roman" w:cs="Times New Roman"/>
        </w:rPr>
        <w:t xml:space="preserve">1. </w:t>
      </w:r>
      <w:r>
        <w:rPr>
          <w:rFonts w:ascii="Times New Roman" w:hAnsi="Times New Roman" w:cs="Times New Roman"/>
        </w:rPr>
        <w:t>从相关到因果的范式转移：</w:t>
      </w:r>
      <w:r>
        <w:rPr>
          <w:rFonts w:ascii="Times New Roman" w:hAnsi="Times New Roman" w:cs="Times New Roman"/>
        </w:rPr>
        <w:t>CausalBench</w:t>
      </w:r>
      <w:r>
        <w:rPr>
          <w:rFonts w:ascii="Times New Roman" w:hAnsi="Times New Roman" w:cs="Times New Roman"/>
        </w:rPr>
        <w:t>、</w:t>
      </w:r>
      <w:r>
        <w:rPr>
          <w:rFonts w:ascii="Times New Roman" w:hAnsi="Times New Roman" w:cs="Times New Roman"/>
        </w:rPr>
        <w:t xml:space="preserve">Causal Differential Networks </w:t>
      </w:r>
      <w:r>
        <w:rPr>
          <w:rFonts w:ascii="Times New Roman" w:hAnsi="Times New Roman" w:cs="Times New Roman"/>
        </w:rPr>
        <w:t>等工作明确指出，高维生物系统中的关键变量识别不能停留在相关性或边权排序，而应引入因果结构推断与扰动响应评估。</w:t>
      </w:r>
    </w:p>
    <w:p w14:paraId="5DB09FF2" w14:textId="77777777" w:rsidR="00DC087A" w:rsidRDefault="00000000">
      <w:pPr>
        <w:spacing w:line="360" w:lineRule="auto"/>
        <w:rPr>
          <w:rFonts w:hint="eastAsia"/>
        </w:rPr>
      </w:pPr>
      <w:r>
        <w:rPr>
          <w:rFonts w:ascii="Times New Roman" w:hAnsi="Times New Roman" w:cs="Times New Roman"/>
        </w:rPr>
        <w:t xml:space="preserve">2. </w:t>
      </w:r>
      <w:r>
        <w:rPr>
          <w:rFonts w:ascii="Times New Roman" w:hAnsi="Times New Roman" w:cs="Times New Roman"/>
        </w:rPr>
        <w:t>深度表征与因果约束的融合：</w:t>
      </w:r>
      <w:r>
        <w:rPr>
          <w:rFonts w:ascii="Times New Roman" w:hAnsi="Times New Roman" w:cs="Times New Roman"/>
        </w:rPr>
        <w:t>Variational Causal Inference</w:t>
      </w:r>
      <w:r>
        <w:rPr>
          <w:rFonts w:ascii="Times New Roman" w:hAnsi="Times New Roman" w:cs="Times New Roman"/>
        </w:rPr>
        <w:t>、</w:t>
      </w:r>
      <w:r>
        <w:rPr>
          <w:rFonts w:ascii="Times New Roman" w:hAnsi="Times New Roman" w:cs="Times New Roman"/>
        </w:rPr>
        <w:t>Causal Representation Learning</w:t>
      </w:r>
      <w:r>
        <w:rPr>
          <w:rFonts w:ascii="Times New Roman" w:hAnsi="Times New Roman" w:cs="Times New Roman"/>
        </w:rPr>
        <w:t>、</w:t>
      </w:r>
      <w:r>
        <w:rPr>
          <w:rFonts w:ascii="Times New Roman" w:hAnsi="Times New Roman" w:cs="Times New Roman"/>
        </w:rPr>
        <w:t xml:space="preserve">Generative Intervention Models </w:t>
      </w:r>
      <w:r>
        <w:rPr>
          <w:rFonts w:ascii="Times New Roman" w:hAnsi="Times New Roman" w:cs="Times New Roman"/>
        </w:rPr>
        <w:t>等研究表明，深度生成模型擅长处理高维噪声数据，但必须嵌入结构化因果机制约束，才能在反事实推断和未观测扰动预测中具备可解释性。</w:t>
      </w:r>
    </w:p>
    <w:p w14:paraId="1E92B5CE" w14:textId="77777777" w:rsidR="00DC087A" w:rsidRDefault="00000000">
      <w:pPr>
        <w:spacing w:line="360" w:lineRule="auto"/>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以反事实分析衡量模型价值：</w:t>
      </w:r>
      <w:r>
        <w:rPr>
          <w:rFonts w:ascii="Times New Roman" w:hAnsi="Times New Roman" w:cs="Times New Roman"/>
        </w:rPr>
        <w:t>Virtual Cells as Causal World Models</w:t>
      </w:r>
      <w:r>
        <w:rPr>
          <w:rFonts w:ascii="Times New Roman" w:hAnsi="Times New Roman" w:cs="Times New Roman"/>
        </w:rPr>
        <w:t>、</w:t>
      </w:r>
      <w:r>
        <w:rPr>
          <w:rFonts w:ascii="Times New Roman" w:hAnsi="Times New Roman" w:cs="Times New Roman"/>
        </w:rPr>
        <w:t>Clinical World Models</w:t>
      </w:r>
      <w:r>
        <w:rPr>
          <w:rFonts w:ascii="Times New Roman" w:hAnsi="Times New Roman" w:cs="Times New Roman"/>
        </w:rPr>
        <w:t>、</w:t>
      </w:r>
      <w:r>
        <w:rPr>
          <w:rFonts w:ascii="Times New Roman" w:hAnsi="Times New Roman" w:cs="Times New Roman"/>
        </w:rPr>
        <w:t xml:space="preserve">PERTURBQA </w:t>
      </w:r>
      <w:r>
        <w:rPr>
          <w:rFonts w:ascii="Times New Roman" w:hAnsi="Times New Roman" w:cs="Times New Roman"/>
        </w:rPr>
        <w:t>等工作共同指向一个核心评价标准</w:t>
      </w:r>
      <w:r>
        <w:rPr>
          <w:rFonts w:ascii="Times New Roman" w:hAnsi="Times New Roman" w:cs="Times New Roman"/>
        </w:rPr>
        <w:t>——</w:t>
      </w:r>
      <w:r>
        <w:rPr>
          <w:rFonts w:ascii="Times New Roman" w:hAnsi="Times New Roman" w:cs="Times New Roman"/>
        </w:rPr>
        <w:t>生物医学模型的下游价值应体现在</w:t>
      </w:r>
      <w:r>
        <w:rPr>
          <w:rFonts w:ascii="Times New Roman" w:hAnsi="Times New Roman" w:cs="Times New Roman"/>
        </w:rPr>
        <w:t>"</w:t>
      </w:r>
      <w:r>
        <w:rPr>
          <w:rFonts w:ascii="Times New Roman" w:hAnsi="Times New Roman" w:cs="Times New Roman"/>
        </w:rPr>
        <w:t>如果干预某个分子，系统结局将如何变化</w:t>
      </w:r>
      <w:r>
        <w:rPr>
          <w:rFonts w:ascii="Times New Roman" w:hAnsi="Times New Roman" w:cs="Times New Roman"/>
        </w:rPr>
        <w:t>"</w:t>
      </w:r>
      <w:r>
        <w:rPr>
          <w:rFonts w:ascii="Times New Roman" w:hAnsi="Times New Roman" w:cs="Times New Roman"/>
        </w:rPr>
        <w:t>这一反事实问题的回答能力上。</w:t>
      </w:r>
    </w:p>
    <w:p w14:paraId="55ADB1AB" w14:textId="58A7F43D" w:rsidR="00CB1841" w:rsidRPr="00CB1841" w:rsidRDefault="00CB1841" w:rsidP="00CB1841">
      <w:pPr>
        <w:spacing w:line="360" w:lineRule="auto"/>
        <w:rPr>
          <w:rFonts w:ascii="Times New Roman" w:hAnsi="Times New Roman" w:cs="Times New Roman"/>
        </w:rPr>
      </w:pPr>
      <w:r>
        <w:rPr>
          <w:rFonts w:ascii="Times New Roman" w:hAnsi="Times New Roman" w:cs="Times New Roman" w:hint="eastAsia"/>
        </w:rPr>
        <w:t>4.</w:t>
      </w:r>
      <w:r w:rsidRPr="00CB1841">
        <w:t xml:space="preserve"> </w:t>
      </w:r>
      <w:r w:rsidRPr="00CB1841">
        <w:rPr>
          <w:rFonts w:ascii="Times New Roman" w:hAnsi="Times New Roman" w:cs="Times New Roman"/>
        </w:rPr>
        <w:t xml:space="preserve">ACLF </w:t>
      </w:r>
      <w:r w:rsidRPr="00CB1841">
        <w:rPr>
          <w:rFonts w:ascii="Times New Roman" w:hAnsi="Times New Roman" w:cs="Times New Roman"/>
        </w:rPr>
        <w:t>的</w:t>
      </w:r>
      <w:r w:rsidRPr="00CB1841">
        <w:rPr>
          <w:rFonts w:ascii="Times New Roman" w:hAnsi="Times New Roman" w:cs="Times New Roman"/>
        </w:rPr>
        <w:t xml:space="preserve"> omics </w:t>
      </w:r>
      <w:r w:rsidRPr="00CB1841">
        <w:rPr>
          <w:rFonts w:ascii="Times New Roman" w:hAnsi="Times New Roman" w:cs="Times New Roman"/>
        </w:rPr>
        <w:t>综述仍明确指出，更深入的机制通路和潜在治疗靶点仍需要进一步研究，</w:t>
      </w:r>
      <w:r w:rsidRPr="00CB1841">
        <w:rPr>
          <w:rFonts w:ascii="Times New Roman" w:hAnsi="Times New Roman" w:cs="Times New Roman"/>
        </w:rPr>
        <w:t xml:space="preserve">omics </w:t>
      </w:r>
      <w:r w:rsidRPr="00CB1841">
        <w:rPr>
          <w:rFonts w:ascii="Times New Roman" w:hAnsi="Times New Roman" w:cs="Times New Roman"/>
        </w:rPr>
        <w:t>的重要用途之一正是机制解析、</w:t>
      </w:r>
      <w:r w:rsidRPr="00CB1841">
        <w:rPr>
          <w:rFonts w:ascii="Times New Roman" w:hAnsi="Times New Roman" w:cs="Times New Roman"/>
        </w:rPr>
        <w:t xml:space="preserve">biomarker </w:t>
      </w:r>
      <w:r w:rsidRPr="00CB1841">
        <w:rPr>
          <w:rFonts w:ascii="Times New Roman" w:hAnsi="Times New Roman" w:cs="Times New Roman"/>
        </w:rPr>
        <w:t>和潜在治疗靶点识别。</w:t>
      </w:r>
    </w:p>
    <w:p w14:paraId="0385D02E" w14:textId="77777777" w:rsidR="00CB1841" w:rsidRPr="00CB1841" w:rsidRDefault="00CB1841" w:rsidP="00CB1841">
      <w:pPr>
        <w:spacing w:line="360" w:lineRule="auto"/>
        <w:rPr>
          <w:rFonts w:ascii="Times New Roman" w:hAnsi="Times New Roman" w:cs="Times New Roman"/>
        </w:rPr>
      </w:pPr>
      <w:r w:rsidRPr="00CB1841">
        <w:rPr>
          <w:rFonts w:ascii="Times New Roman" w:hAnsi="Times New Roman" w:cs="Times New Roman"/>
        </w:rPr>
        <w:t>代谢组研究同样指出，虽然已经找到不少</w:t>
      </w:r>
      <w:r w:rsidRPr="00CB1841">
        <w:rPr>
          <w:rFonts w:ascii="Times New Roman" w:hAnsi="Times New Roman" w:cs="Times New Roman"/>
        </w:rPr>
        <w:t xml:space="preserve"> ACLF-associated metabolites</w:t>
      </w:r>
      <w:r w:rsidRPr="00CB1841">
        <w:rPr>
          <w:rFonts w:ascii="Times New Roman" w:hAnsi="Times New Roman" w:cs="Times New Roman"/>
        </w:rPr>
        <w:t>，但经过充分验证的诊断</w:t>
      </w:r>
      <w:r w:rsidRPr="00CB1841">
        <w:rPr>
          <w:rFonts w:ascii="Times New Roman" w:hAnsi="Times New Roman" w:cs="Times New Roman"/>
        </w:rPr>
        <w:t>/</w:t>
      </w:r>
      <w:r w:rsidRPr="00CB1841">
        <w:rPr>
          <w:rFonts w:ascii="Times New Roman" w:hAnsi="Times New Roman" w:cs="Times New Roman"/>
        </w:rPr>
        <w:t>预后</w:t>
      </w:r>
      <w:r w:rsidRPr="00CB1841">
        <w:rPr>
          <w:rFonts w:ascii="Times New Roman" w:hAnsi="Times New Roman" w:cs="Times New Roman"/>
        </w:rPr>
        <w:t xml:space="preserve"> biomarker </w:t>
      </w:r>
      <w:r w:rsidRPr="00CB1841">
        <w:rPr>
          <w:rFonts w:ascii="Times New Roman" w:hAnsi="Times New Roman" w:cs="Times New Roman"/>
        </w:rPr>
        <w:t>和这些代谢物在发病机制中的作用仍然没有完全明确。</w:t>
      </w:r>
    </w:p>
    <w:p w14:paraId="3F902D22" w14:textId="77777777" w:rsidR="00CB1841" w:rsidRPr="00CB1841" w:rsidRDefault="00CB1841" w:rsidP="00CB1841">
      <w:pPr>
        <w:spacing w:line="360" w:lineRule="auto"/>
        <w:rPr>
          <w:rFonts w:ascii="Times New Roman" w:hAnsi="Times New Roman" w:cs="Times New Roman"/>
        </w:rPr>
      </w:pPr>
      <w:r w:rsidRPr="00CB1841">
        <w:rPr>
          <w:rFonts w:ascii="Times New Roman" w:hAnsi="Times New Roman" w:cs="Times New Roman"/>
        </w:rPr>
        <w:t>而且直到最近仍然可以通过</w:t>
      </w:r>
      <w:r w:rsidRPr="00CB1841">
        <w:rPr>
          <w:rFonts w:ascii="Times New Roman" w:hAnsi="Times New Roman" w:cs="Times New Roman"/>
        </w:rPr>
        <w:t xml:space="preserve"> multi-omics </w:t>
      </w:r>
      <w:r w:rsidRPr="00CB1841">
        <w:rPr>
          <w:rFonts w:ascii="Times New Roman" w:hAnsi="Times New Roman" w:cs="Times New Roman"/>
        </w:rPr>
        <w:t>找到新的机制性网络。例如</w:t>
      </w:r>
      <w:r w:rsidRPr="00CB1841">
        <w:rPr>
          <w:rFonts w:ascii="Times New Roman" w:hAnsi="Times New Roman" w:cs="Times New Roman"/>
        </w:rPr>
        <w:t xml:space="preserve"> 2026 </w:t>
      </w:r>
      <w:r w:rsidRPr="00CB1841">
        <w:rPr>
          <w:rFonts w:ascii="Times New Roman" w:hAnsi="Times New Roman" w:cs="Times New Roman"/>
        </w:rPr>
        <w:t>年一项</w:t>
      </w:r>
      <w:r w:rsidRPr="00CB1841">
        <w:rPr>
          <w:rFonts w:ascii="Times New Roman" w:hAnsi="Times New Roman" w:cs="Times New Roman"/>
        </w:rPr>
        <w:t xml:space="preserve"> 766 </w:t>
      </w:r>
      <w:r w:rsidRPr="00CB1841">
        <w:rPr>
          <w:rFonts w:ascii="Times New Roman" w:hAnsi="Times New Roman" w:cs="Times New Roman"/>
        </w:rPr>
        <w:t>名失代偿肝硬化患者的血液</w:t>
      </w:r>
      <w:r w:rsidRPr="00CB1841">
        <w:rPr>
          <w:rFonts w:ascii="Times New Roman" w:hAnsi="Times New Roman" w:cs="Times New Roman"/>
        </w:rPr>
        <w:t xml:space="preserve"> multiomics </w:t>
      </w:r>
      <w:r w:rsidRPr="00CB1841">
        <w:rPr>
          <w:rFonts w:ascii="Times New Roman" w:hAnsi="Times New Roman" w:cs="Times New Roman"/>
        </w:rPr>
        <w:t>研究，把</w:t>
      </w:r>
      <w:r w:rsidRPr="00CB1841">
        <w:rPr>
          <w:rFonts w:ascii="Times New Roman" w:hAnsi="Times New Roman" w:cs="Times New Roman"/>
        </w:rPr>
        <w:t xml:space="preserve"> lipid mediator 20-HETE </w:t>
      </w:r>
      <w:r w:rsidRPr="00CB1841">
        <w:rPr>
          <w:rFonts w:ascii="Times New Roman" w:hAnsi="Times New Roman" w:cs="Times New Roman"/>
        </w:rPr>
        <w:t>与</w:t>
      </w:r>
      <w:r w:rsidRPr="00CB1841">
        <w:rPr>
          <w:rFonts w:ascii="Times New Roman" w:hAnsi="Times New Roman" w:cs="Times New Roman"/>
        </w:rPr>
        <w:t xml:space="preserve"> mitochondrial dysfunction </w:t>
      </w:r>
      <w:r w:rsidRPr="00CB1841">
        <w:rPr>
          <w:rFonts w:ascii="Times New Roman" w:hAnsi="Times New Roman" w:cs="Times New Roman"/>
        </w:rPr>
        <w:t>连接成与</w:t>
      </w:r>
      <w:r w:rsidRPr="00CB1841">
        <w:rPr>
          <w:rFonts w:ascii="Times New Roman" w:hAnsi="Times New Roman" w:cs="Times New Roman"/>
        </w:rPr>
        <w:t xml:space="preserve"> ACLF </w:t>
      </w:r>
      <w:r w:rsidRPr="00CB1841">
        <w:rPr>
          <w:rFonts w:ascii="Times New Roman" w:hAnsi="Times New Roman" w:cs="Times New Roman"/>
        </w:rPr>
        <w:t>发生和死亡相关的网络，并进一步</w:t>
      </w:r>
      <w:r w:rsidRPr="00CB1841">
        <w:rPr>
          <w:rFonts w:ascii="Times New Roman" w:hAnsi="Times New Roman" w:cs="Times New Roman"/>
        </w:rPr>
        <w:lastRenderedPageBreak/>
        <w:t>进行了体外机制验证。</w:t>
      </w:r>
    </w:p>
    <w:p w14:paraId="4989A15B" w14:textId="19204294" w:rsidR="00CB1841" w:rsidRPr="00CB1841" w:rsidRDefault="00CB1841">
      <w:pPr>
        <w:spacing w:line="360" w:lineRule="auto"/>
        <w:rPr>
          <w:rFonts w:hint="eastAsia"/>
        </w:rPr>
      </w:pPr>
    </w:p>
    <w:p w14:paraId="5D39545A" w14:textId="77777777" w:rsidR="00DC087A" w:rsidRDefault="00000000">
      <w:pPr>
        <w:pStyle w:val="2"/>
        <w:rPr>
          <w:rFonts w:hint="eastAsia"/>
        </w:rPr>
      </w:pPr>
      <w:r>
        <w:t>1.</w:t>
      </w:r>
      <w:r>
        <w:rPr>
          <w:rFonts w:hint="eastAsia"/>
        </w:rPr>
        <w:t>2</w:t>
      </w:r>
      <w:r>
        <w:t xml:space="preserve"> </w:t>
      </w:r>
      <w:r>
        <w:rPr>
          <w:rFonts w:hint="eastAsia"/>
        </w:rPr>
        <w:t>科学问题</w:t>
      </w:r>
    </w:p>
    <w:p w14:paraId="06C90739" w14:textId="77777777" w:rsidR="00DC087A" w:rsidRDefault="00000000">
      <w:pPr>
        <w:spacing w:line="360" w:lineRule="auto"/>
        <w:ind w:firstLine="480"/>
        <w:rPr>
          <w:rFonts w:hint="eastAsia"/>
        </w:rPr>
      </w:pPr>
      <w:r>
        <w:t>在 ACLF 复杂病理进展中，哪些蛋白质和代谢物变化不仅与疾病严重程度相关，而且可能位于驱动临床恶化的上游因果链条中？</w:t>
      </w:r>
    </w:p>
    <w:p w14:paraId="51135C88" w14:textId="77777777" w:rsidR="00DC087A" w:rsidRDefault="00000000">
      <w:pPr>
        <w:spacing w:line="360" w:lineRule="auto"/>
        <w:ind w:firstLine="480"/>
        <w:rPr>
          <w:rFonts w:hint="eastAsia"/>
        </w:rPr>
      </w:pPr>
      <w:r>
        <w:t>ACLF 临床恶化并非由孤立分子变化决定，而是由蛋白质组、代谢组与临床结局之间的跨层级因果传导网络共同驱动；其中存在一组具有稳定因果投影效应、方向一致反事实响应和生物学通路支持的关键候选分子，可作为 ACLF 进展风险评估和后续实验验证的优先对象。</w:t>
      </w:r>
    </w:p>
    <w:p w14:paraId="07272BDA" w14:textId="77777777" w:rsidR="00DC087A" w:rsidRDefault="00000000">
      <w:pPr>
        <w:pStyle w:val="1"/>
        <w:jc w:val="center"/>
        <w:rPr>
          <w:rFonts w:hint="eastAsia"/>
        </w:rPr>
      </w:pPr>
      <w:r>
        <w:t>二、研究</w:t>
      </w:r>
      <w:r>
        <w:rPr>
          <w:rFonts w:hint="eastAsia"/>
        </w:rPr>
        <w:t>方案</w:t>
      </w:r>
    </w:p>
    <w:p w14:paraId="282C9096" w14:textId="77777777" w:rsidR="00DC087A" w:rsidRDefault="00000000">
      <w:pPr>
        <w:spacing w:line="360" w:lineRule="auto"/>
        <w:ind w:firstLineChars="200" w:firstLine="480"/>
        <w:rPr>
          <w:rFonts w:ascii="Times New Roman" w:hAnsi="Times New Roman" w:cs="Times New Roman"/>
        </w:rPr>
      </w:pPr>
      <w:r>
        <w:rPr>
          <w:rFonts w:ascii="Times New Roman" w:hAnsi="Times New Roman" w:cs="Times New Roman" w:hint="eastAsia"/>
        </w:rPr>
        <w:t>本研究旨在基于</w:t>
      </w:r>
      <w:r>
        <w:rPr>
          <w:rFonts w:ascii="Times New Roman" w:hAnsi="Times New Roman" w:cs="Times New Roman" w:hint="eastAsia"/>
        </w:rPr>
        <w:t xml:space="preserve"> ACLF </w:t>
      </w:r>
      <w:r>
        <w:rPr>
          <w:rFonts w:ascii="Times New Roman" w:hAnsi="Times New Roman" w:cs="Times New Roman" w:hint="eastAsia"/>
        </w:rPr>
        <w:t>患者的多组学数据和临床结局信息，构建一个面向机制解释的多组学因果推断分析框架，识别并优先排序可能参与</w:t>
      </w:r>
      <w:r>
        <w:rPr>
          <w:rFonts w:ascii="Times New Roman" w:hAnsi="Times New Roman" w:cs="Times New Roman" w:hint="eastAsia"/>
        </w:rPr>
        <w:t xml:space="preserve"> ACLF </w:t>
      </w:r>
      <w:r>
        <w:rPr>
          <w:rFonts w:ascii="Times New Roman" w:hAnsi="Times New Roman" w:cs="Times New Roman" w:hint="eastAsia"/>
        </w:rPr>
        <w:t>临床恶化过程的关键候选分子。</w:t>
      </w:r>
    </w:p>
    <w:p w14:paraId="3A13E4BC" w14:textId="77777777" w:rsidR="00DC087A" w:rsidRDefault="00000000">
      <w:pPr>
        <w:spacing w:line="360" w:lineRule="auto"/>
        <w:ind w:firstLineChars="200" w:firstLine="480"/>
        <w:rPr>
          <w:rFonts w:ascii="Times New Roman" w:hAnsi="Times New Roman" w:cs="Times New Roman"/>
        </w:rPr>
      </w:pPr>
      <w:r>
        <w:rPr>
          <w:rFonts w:ascii="Times New Roman" w:hAnsi="Times New Roman" w:cs="Times New Roman" w:hint="eastAsia"/>
        </w:rPr>
        <w:t>具体方案包括：</w:t>
      </w:r>
    </w:p>
    <w:p w14:paraId="383E3BF9" w14:textId="77777777" w:rsidR="00DC087A" w:rsidRDefault="00000000">
      <w:pPr>
        <w:numPr>
          <w:ilvl w:val="0"/>
          <w:numId w:val="1"/>
        </w:numPr>
        <w:spacing w:line="360" w:lineRule="auto"/>
        <w:rPr>
          <w:rFonts w:ascii="Times New Roman" w:hAnsi="Times New Roman" w:cs="Times New Roman"/>
        </w:rPr>
      </w:pPr>
      <w:r>
        <w:rPr>
          <w:rFonts w:ascii="Times New Roman" w:hAnsi="Times New Roman" w:cs="Times New Roman" w:hint="eastAsia"/>
        </w:rPr>
        <w:t>构建蛋白质组、代谢组与临床结局之间的结构化因果表征框架，刻画</w:t>
      </w:r>
      <w:r>
        <w:rPr>
          <w:rFonts w:ascii="Times New Roman" w:hAnsi="Times New Roman" w:cs="Times New Roman" w:hint="eastAsia"/>
        </w:rPr>
        <w:t xml:space="preserve"> ACLF </w:t>
      </w:r>
      <w:r>
        <w:rPr>
          <w:rFonts w:ascii="Times New Roman" w:hAnsi="Times New Roman" w:cs="Times New Roman" w:hint="eastAsia"/>
        </w:rPr>
        <w:t>多组学特征与疾病严重程度之间的潜在因果关系。</w:t>
      </w:r>
    </w:p>
    <w:p w14:paraId="4051D83A" w14:textId="77777777" w:rsidR="00DC087A" w:rsidRDefault="00000000">
      <w:pPr>
        <w:numPr>
          <w:ilvl w:val="0"/>
          <w:numId w:val="1"/>
        </w:numPr>
        <w:spacing w:line="360" w:lineRule="auto"/>
        <w:rPr>
          <w:rFonts w:ascii="Times New Roman" w:hAnsi="Times New Roman" w:cs="Times New Roman"/>
        </w:rPr>
      </w:pPr>
      <w:r>
        <w:rPr>
          <w:rFonts w:ascii="Times New Roman" w:hAnsi="Times New Roman" w:cs="Times New Roman" w:hint="eastAsia"/>
        </w:rPr>
        <w:t>区分直接影响临床结局的分子特征与通过跨组学路径间接影响结局的上游候选分子。</w:t>
      </w:r>
    </w:p>
    <w:p w14:paraId="482B5D89" w14:textId="77777777" w:rsidR="00DC087A" w:rsidRDefault="00000000">
      <w:pPr>
        <w:numPr>
          <w:ilvl w:val="0"/>
          <w:numId w:val="1"/>
        </w:numPr>
        <w:spacing w:line="360" w:lineRule="auto"/>
        <w:rPr>
          <w:rFonts w:ascii="Times New Roman" w:hAnsi="Times New Roman" w:cs="Times New Roman"/>
        </w:rPr>
      </w:pPr>
      <w:r>
        <w:rPr>
          <w:rFonts w:ascii="Times New Roman" w:hAnsi="Times New Roman" w:cs="Times New Roman" w:hint="eastAsia"/>
        </w:rPr>
        <w:t>通过患者层面的反事实响应模拟，评估高优先级候选分子变化对临床结局预测的方向一致性、效应幅度和个体异质性。</w:t>
      </w:r>
    </w:p>
    <w:p w14:paraId="79E51F53" w14:textId="77777777" w:rsidR="00DC087A" w:rsidRDefault="00000000">
      <w:pPr>
        <w:numPr>
          <w:ilvl w:val="0"/>
          <w:numId w:val="1"/>
        </w:numPr>
        <w:spacing w:line="360" w:lineRule="auto"/>
        <w:rPr>
          <w:rFonts w:ascii="Times New Roman" w:hAnsi="Times New Roman" w:cs="Times New Roman"/>
        </w:rPr>
      </w:pPr>
      <w:r>
        <w:rPr>
          <w:rFonts w:ascii="Times New Roman" w:hAnsi="Times New Roman" w:cs="Times New Roman" w:hint="eastAsia"/>
        </w:rPr>
        <w:t>结合模型稳定性、临床病理一致性和外部生物学证据，建立</w:t>
      </w:r>
      <w:r>
        <w:rPr>
          <w:rFonts w:ascii="Times New Roman" w:hAnsi="Times New Roman" w:cs="Times New Roman" w:hint="eastAsia"/>
        </w:rPr>
        <w:t xml:space="preserve"> ACLF </w:t>
      </w:r>
      <w:r>
        <w:rPr>
          <w:rFonts w:ascii="Times New Roman" w:hAnsi="Times New Roman" w:cs="Times New Roman" w:hint="eastAsia"/>
        </w:rPr>
        <w:t>候选</w:t>
      </w:r>
      <w:r>
        <w:rPr>
          <w:rFonts w:ascii="Times New Roman" w:hAnsi="Times New Roman" w:cs="Times New Roman" w:hint="eastAsia"/>
        </w:rPr>
        <w:t xml:space="preserve"> biomarker </w:t>
      </w:r>
      <w:r>
        <w:rPr>
          <w:rFonts w:ascii="Times New Roman" w:hAnsi="Times New Roman" w:cs="Times New Roman" w:hint="eastAsia"/>
        </w:rPr>
        <w:t>的多层证据评价体系。</w:t>
      </w:r>
    </w:p>
    <w:p w14:paraId="5F8D97DB" w14:textId="77777777" w:rsidR="00DC087A" w:rsidRDefault="00000000">
      <w:pPr>
        <w:numPr>
          <w:ilvl w:val="0"/>
          <w:numId w:val="1"/>
        </w:numPr>
        <w:spacing w:line="360" w:lineRule="auto"/>
        <w:rPr>
          <w:rFonts w:ascii="Times New Roman" w:hAnsi="Times New Roman" w:cs="Times New Roman"/>
        </w:rPr>
      </w:pPr>
      <w:r>
        <w:rPr>
          <w:rFonts w:ascii="Times New Roman" w:hAnsi="Times New Roman" w:cs="Times New Roman" w:hint="eastAsia"/>
        </w:rPr>
        <w:t>形成可用于后续实验验证、机制研究和论文结果展示的</w:t>
      </w:r>
      <w:r>
        <w:rPr>
          <w:rFonts w:ascii="Times New Roman" w:hAnsi="Times New Roman" w:cs="Times New Roman" w:hint="eastAsia"/>
        </w:rPr>
        <w:t xml:space="preserve"> ACLF </w:t>
      </w:r>
      <w:r>
        <w:rPr>
          <w:rFonts w:ascii="Times New Roman" w:hAnsi="Times New Roman" w:cs="Times New Roman" w:hint="eastAsia"/>
        </w:rPr>
        <w:t>关键候选</w:t>
      </w:r>
      <w:r>
        <w:rPr>
          <w:rFonts w:ascii="Times New Roman" w:hAnsi="Times New Roman" w:cs="Times New Roman" w:hint="eastAsia"/>
        </w:rPr>
        <w:t xml:space="preserve"> biomarker </w:t>
      </w:r>
      <w:r>
        <w:rPr>
          <w:rFonts w:ascii="Times New Roman" w:hAnsi="Times New Roman" w:cs="Times New Roman" w:hint="eastAsia"/>
        </w:rPr>
        <w:t>清单。</w:t>
      </w:r>
    </w:p>
    <w:p w14:paraId="31018A36" w14:textId="77777777" w:rsidR="00DC087A" w:rsidRDefault="00000000">
      <w:pPr>
        <w:pStyle w:val="1"/>
        <w:jc w:val="center"/>
        <w:rPr>
          <w:rFonts w:hint="eastAsia"/>
        </w:rPr>
      </w:pPr>
      <w:r>
        <w:t>三、模型基础</w:t>
      </w:r>
    </w:p>
    <w:p w14:paraId="4480F755" w14:textId="77777777" w:rsidR="00DC087A" w:rsidRDefault="00000000">
      <w:pPr>
        <w:pStyle w:val="2"/>
        <w:rPr>
          <w:rFonts w:hint="eastAsia"/>
        </w:rPr>
      </w:pPr>
      <w:r>
        <w:lastRenderedPageBreak/>
        <w:t>3.1 模型架构概述</w:t>
      </w:r>
    </w:p>
    <w:p w14:paraId="7C0423CF" w14:textId="77777777" w:rsidR="00DC087A" w:rsidRDefault="00000000">
      <w:pPr>
        <w:spacing w:line="360" w:lineRule="auto"/>
        <w:ind w:firstLine="480"/>
        <w:rPr>
          <w:rFonts w:hint="eastAsia"/>
        </w:rPr>
      </w:pPr>
      <w:r>
        <w:rPr>
          <w:rFonts w:ascii="Times New Roman" w:hAnsi="Times New Roman" w:cs="Times New Roman"/>
        </w:rPr>
        <w:t>当前项目的核心模型为多模态结构因果</w:t>
      </w:r>
      <w:r>
        <w:rPr>
          <w:rFonts w:ascii="Times New Roman" w:hAnsi="Times New Roman" w:cs="Times New Roman"/>
        </w:rPr>
        <w:t xml:space="preserve"> VAE</w:t>
      </w:r>
      <w:r>
        <w:rPr>
          <w:rFonts w:ascii="Times New Roman" w:hAnsi="Times New Roman" w:cs="Times New Roman"/>
        </w:rPr>
        <w:t>（</w:t>
      </w:r>
      <w:r>
        <w:rPr>
          <w:rFonts w:ascii="Times New Roman" w:hAnsi="Times New Roman" w:cs="Times New Roman"/>
        </w:rPr>
        <w:t xml:space="preserve">outcome-in-SCM </w:t>
      </w:r>
      <w:r>
        <w:rPr>
          <w:rFonts w:ascii="Times New Roman" w:hAnsi="Times New Roman" w:cs="Times New Roman"/>
        </w:rPr>
        <w:t>版本）。模型输入包括四类数据：锚定临床变量（</w:t>
      </w:r>
      <w:r>
        <w:rPr>
          <w:rFonts w:ascii="Times New Roman" w:hAnsi="Times New Roman" w:cs="Times New Roman"/>
        </w:rPr>
        <w:t>Anchors</w:t>
      </w:r>
      <w:r>
        <w:rPr>
          <w:rFonts w:ascii="Times New Roman" w:hAnsi="Times New Roman" w:cs="Times New Roman"/>
        </w:rPr>
        <w:t>）、蛋白质组（</w:t>
      </w:r>
      <w:r>
        <w:rPr>
          <w:rFonts w:ascii="Times New Roman" w:hAnsi="Times New Roman" w:cs="Times New Roman"/>
        </w:rPr>
        <w:t xml:space="preserve">~2000 </w:t>
      </w:r>
      <w:r>
        <w:rPr>
          <w:rFonts w:ascii="Times New Roman" w:hAnsi="Times New Roman" w:cs="Times New Roman"/>
        </w:rPr>
        <w:t>维）、代谢组（</w:t>
      </w:r>
      <w:r>
        <w:rPr>
          <w:rFonts w:ascii="Times New Roman" w:hAnsi="Times New Roman" w:cs="Times New Roman"/>
        </w:rPr>
        <w:t xml:space="preserve">~250 </w:t>
      </w:r>
      <w:r>
        <w:rPr>
          <w:rFonts w:ascii="Times New Roman" w:hAnsi="Times New Roman" w:cs="Times New Roman"/>
        </w:rPr>
        <w:t>维）及临床结局变量（连续型</w:t>
      </w:r>
      <w:r>
        <w:rPr>
          <w:rFonts w:ascii="Times New Roman" w:hAnsi="Times New Roman" w:cs="Times New Roman"/>
        </w:rPr>
        <w:t xml:space="preserve"> + </w:t>
      </w:r>
      <w:r>
        <w:rPr>
          <w:rFonts w:ascii="Times New Roman" w:hAnsi="Times New Roman" w:cs="Times New Roman"/>
        </w:rPr>
        <w:t>二分类）。</w:t>
      </w:r>
    </w:p>
    <w:p w14:paraId="489C80B8" w14:textId="77777777" w:rsidR="00DC087A" w:rsidRDefault="00000000">
      <w:pPr>
        <w:spacing w:line="360" w:lineRule="auto"/>
        <w:ind w:firstLine="480"/>
        <w:rPr>
          <w:rFonts w:hint="eastAsia"/>
        </w:rPr>
      </w:pPr>
      <w:r>
        <w:rPr>
          <w:rFonts w:ascii="Times New Roman" w:hAnsi="Times New Roman" w:cs="Times New Roman"/>
        </w:rPr>
        <w:t>蛋白质组和代谢组分别通过</w:t>
      </w:r>
      <w:r>
        <w:rPr>
          <w:rFonts w:ascii="Times New Roman" w:hAnsi="Times New Roman" w:cs="Times New Roman"/>
        </w:rPr>
        <w:t xml:space="preserve"> Shared-Private Encoder </w:t>
      </w:r>
      <w:r>
        <w:rPr>
          <w:rFonts w:ascii="Times New Roman" w:hAnsi="Times New Roman" w:cs="Times New Roman"/>
        </w:rPr>
        <w:t>分解为两类潜变量：共享因果潜变量（进入</w:t>
      </w:r>
      <w:r>
        <w:rPr>
          <w:rFonts w:ascii="Times New Roman" w:hAnsi="Times New Roman" w:cs="Times New Roman"/>
        </w:rPr>
        <w:t xml:space="preserve"> SCM </w:t>
      </w:r>
      <w:r>
        <w:rPr>
          <w:rFonts w:ascii="Times New Roman" w:hAnsi="Times New Roman" w:cs="Times New Roman"/>
        </w:rPr>
        <w:t>参与因果传导）和私有扰动潜变量（吸收模态特异噪声和非因果变异）。临床结局通过独立的</w:t>
      </w:r>
      <w:r>
        <w:rPr>
          <w:rFonts w:ascii="Times New Roman" w:hAnsi="Times New Roman" w:cs="Times New Roman"/>
        </w:rPr>
        <w:t xml:space="preserve"> Outcome Encoder </w:t>
      </w:r>
      <w:r>
        <w:rPr>
          <w:rFonts w:ascii="Times New Roman" w:hAnsi="Times New Roman" w:cs="Times New Roman"/>
        </w:rPr>
        <w:t>编码为共享潜变量，并作为因果图的纯下游节点接入</w:t>
      </w:r>
      <w:r>
        <w:rPr>
          <w:rFonts w:ascii="Times New Roman" w:hAnsi="Times New Roman" w:cs="Times New Roman"/>
        </w:rPr>
        <w:t xml:space="preserve"> SCM</w:t>
      </w:r>
      <w:r>
        <w:rPr>
          <w:rFonts w:ascii="Times New Roman" w:hAnsi="Times New Roman" w:cs="Times New Roman"/>
        </w:rPr>
        <w:t>。</w:t>
      </w:r>
    </w:p>
    <w:p w14:paraId="5F1A7D18" w14:textId="77777777" w:rsidR="00DC087A" w:rsidRDefault="00000000">
      <w:pPr>
        <w:pStyle w:val="2"/>
        <w:rPr>
          <w:rFonts w:hint="eastAsia"/>
        </w:rPr>
      </w:pPr>
      <w:r>
        <w:t>3.2 结构因果模型（SCM）</w:t>
      </w:r>
    </w:p>
    <w:p w14:paraId="563981D2" w14:textId="77777777" w:rsidR="00DC087A" w:rsidRDefault="00000000">
      <w:pPr>
        <w:spacing w:line="360" w:lineRule="auto"/>
        <w:rPr>
          <w:rFonts w:hint="eastAsia"/>
        </w:rPr>
      </w:pPr>
      <w:r>
        <w:rPr>
          <w:rFonts w:ascii="Times New Roman" w:hAnsi="Times New Roman" w:cs="Times New Roman"/>
        </w:rPr>
        <w:t>潜变量层</w:t>
      </w:r>
      <w:r>
        <w:rPr>
          <w:rFonts w:ascii="Times New Roman" w:hAnsi="Times New Roman" w:cs="Times New Roman"/>
        </w:rPr>
        <w:t xml:space="preserve"> SCM </w:t>
      </w:r>
      <w:r>
        <w:rPr>
          <w:rFonts w:ascii="Times New Roman" w:hAnsi="Times New Roman" w:cs="Times New Roman"/>
        </w:rPr>
        <w:t>的核心形式为：</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44091431" w14:textId="77777777">
        <w:tc>
          <w:tcPr>
            <w:tcW w:w="500" w:type="pct"/>
            <w:tcBorders>
              <w:top w:val="nil"/>
              <w:left w:val="nil"/>
              <w:bottom w:val="nil"/>
              <w:right w:val="nil"/>
            </w:tcBorders>
          </w:tcPr>
          <w:p w14:paraId="744B8A61" w14:textId="77777777" w:rsidR="00DC087A" w:rsidRDefault="00DC087A">
            <w:pPr>
              <w:rPr>
                <w:rFonts w:hint="eastAsia"/>
              </w:rPr>
            </w:pPr>
          </w:p>
        </w:tc>
        <w:tc>
          <w:tcPr>
            <w:tcW w:w="4000" w:type="pct"/>
            <w:tcBorders>
              <w:top w:val="nil"/>
              <w:left w:val="nil"/>
              <w:bottom w:val="nil"/>
              <w:right w:val="nil"/>
            </w:tcBorders>
            <w:vAlign w:val="center"/>
          </w:tcPr>
          <w:p w14:paraId="03A8D034" w14:textId="77777777" w:rsidR="00DC087A" w:rsidRDefault="00000000">
            <w:pPr>
              <w:spacing w:before="40" w:after="40"/>
              <w:jc w:val="center"/>
              <w:rPr>
                <w:rFonts w:hint="eastAsia"/>
              </w:rPr>
            </w:pPr>
            <m:oMathPara>
              <m:oMath>
                <m:r>
                  <w:rPr>
                    <w:rFonts w:ascii="Cambria Math" w:hAnsi="Cambria Math"/>
                  </w:rPr>
                  <m:t>Z=</m:t>
                </m:r>
                <m:d>
                  <m:dPr>
                    <m:ctrlPr>
                      <w:rPr>
                        <w:rFonts w:ascii="Cambria Math" w:hAnsi="Cambria Math"/>
                      </w:rPr>
                    </m:ctrlPr>
                  </m:dPr>
                  <m:e>
                    <m:r>
                      <w:rPr>
                        <w:rFonts w:ascii="Cambria Math" w:hAnsi="Cambria Math"/>
                      </w:rPr>
                      <m:t>I-</m:t>
                    </m:r>
                    <m:sSup>
                      <m:sSupPr>
                        <m:ctrlPr>
                          <w:rPr>
                            <w:rFonts w:ascii="Cambria Math" w:hAnsi="Cambria Math"/>
                          </w:rPr>
                        </m:ctrlPr>
                      </m:sSupPr>
                      <m:e>
                        <m:r>
                          <w:rPr>
                            <w:rFonts w:ascii="Cambria Math" w:hAnsi="Cambria Math"/>
                          </w:rPr>
                          <m:t>A</m:t>
                        </m:r>
                      </m:e>
                      <m:sup>
                        <m:r>
                          <w:rPr>
                            <w:rFonts w:ascii="Cambria Math" w:hAnsi="Cambria Math"/>
                          </w:rPr>
                          <m:t>T</m:t>
                        </m:r>
                      </m:sup>
                    </m:sSup>
                  </m:e>
                </m:d>
                <m:sSup>
                  <m:sSupPr>
                    <m:ctrlPr>
                      <w:rPr>
                        <w:rFonts w:ascii="Cambria Math" w:hAnsi="Cambria Math"/>
                      </w:rPr>
                    </m:ctrlPr>
                  </m:sSupPr>
                  <m:e/>
                  <m:sup>
                    <m:r>
                      <w:rPr>
                        <w:rFonts w:ascii="Cambria Math" w:hAnsi="Cambria Math"/>
                      </w:rPr>
                      <m:t>-1</m:t>
                    </m:r>
                  </m:sup>
                </m:sSup>
                <m:r>
                  <w:rPr>
                    <w:rFonts w:ascii="Cambria Math" w:hAnsi="Cambria Math"/>
                  </w:rPr>
                  <m:t>·</m:t>
                </m:r>
                <m:d>
                  <m:dPr>
                    <m:ctrlPr>
                      <w:rPr>
                        <w:rFonts w:ascii="Cambria Math" w:hAnsi="Cambria Math"/>
                      </w:rPr>
                    </m:ctrlPr>
                  </m:dPr>
                  <m:e>
                    <m:r>
                      <w:rPr>
                        <w:rFonts w:ascii="Cambria Math" w:hAnsi="Cambria Math"/>
                      </w:rPr>
                      <m:t>E+ anchor_context</m:t>
                    </m:r>
                  </m:e>
                </m:d>
              </m:oMath>
            </m:oMathPara>
          </w:p>
        </w:tc>
        <w:tc>
          <w:tcPr>
            <w:tcW w:w="500" w:type="pct"/>
            <w:tcBorders>
              <w:top w:val="nil"/>
              <w:left w:val="nil"/>
              <w:bottom w:val="nil"/>
              <w:right w:val="nil"/>
            </w:tcBorders>
            <w:vAlign w:val="center"/>
          </w:tcPr>
          <w:p w14:paraId="532F5DCD" w14:textId="77777777" w:rsidR="00DC087A" w:rsidRDefault="00000000">
            <w:pPr>
              <w:spacing w:before="40" w:after="40"/>
              <w:jc w:val="right"/>
              <w:rPr>
                <w:rFonts w:hint="eastAsia"/>
              </w:rPr>
            </w:pPr>
            <w:r>
              <w:rPr>
                <w:rFonts w:ascii="Times New Roman" w:hAnsi="Times New Roman" w:cs="Times New Roman"/>
                <w:sz w:val="20"/>
                <w:szCs w:val="20"/>
              </w:rPr>
              <w:t>(3-1)</w:t>
            </w:r>
          </w:p>
        </w:tc>
      </w:tr>
    </w:tbl>
    <w:p w14:paraId="770C63A5" w14:textId="77777777" w:rsidR="00DC087A" w:rsidRDefault="00000000">
      <w:pPr>
        <w:spacing w:line="360" w:lineRule="auto"/>
        <w:rPr>
          <w:rFonts w:hint="eastAsia"/>
        </w:rPr>
      </w:pPr>
      <w:r>
        <w:rPr>
          <w:rFonts w:ascii="Times New Roman" w:hAnsi="Times New Roman" w:cs="Times New Roman"/>
        </w:rPr>
        <w:t>其中：</w:t>
      </w:r>
    </w:p>
    <w:p w14:paraId="31E13446" w14:textId="77777777" w:rsidR="00DC087A" w:rsidRDefault="00000000">
      <w:pPr>
        <w:spacing w:line="360" w:lineRule="auto"/>
        <w:rPr>
          <w:rFonts w:hint="eastAsia"/>
        </w:rPr>
      </w:pPr>
      <w:r>
        <w:rPr>
          <w:rFonts w:ascii="Times New Roman" w:hAnsi="Times New Roman" w:cs="Times New Roman"/>
        </w:rPr>
        <w:t>A</w:t>
      </w:r>
      <w:r>
        <w:rPr>
          <w:rFonts w:ascii="Times New Roman" w:hAnsi="Times New Roman" w:cs="Times New Roman"/>
        </w:rPr>
        <w:t>：潜变量层因果邻接矩阵（维度约为</w:t>
      </w:r>
      <w:r>
        <w:rPr>
          <w:rFonts w:ascii="Times New Roman" w:hAnsi="Times New Roman" w:cs="Times New Roman"/>
        </w:rPr>
        <w:t xml:space="preserve"> 18×18</w:t>
      </w:r>
      <w:r>
        <w:rPr>
          <w:rFonts w:ascii="Times New Roman" w:hAnsi="Times New Roman" w:cs="Times New Roman"/>
        </w:rPr>
        <w:t>，对应</w:t>
      </w:r>
      <w:r>
        <w:rPr>
          <w:rFonts w:ascii="Times New Roman" w:hAnsi="Times New Roman" w:cs="Times New Roman"/>
        </w:rPr>
        <w:t xml:space="preserve"> P1–P6, M1–M6, O1–O6 </w:t>
      </w:r>
      <w:r>
        <w:rPr>
          <w:rFonts w:ascii="Times New Roman" w:hAnsi="Times New Roman" w:cs="Times New Roman"/>
        </w:rPr>
        <w:t>三个功能块）</w:t>
      </w:r>
    </w:p>
    <w:p w14:paraId="33131B8E" w14:textId="77777777" w:rsidR="00DC087A" w:rsidRDefault="00000000">
      <w:pPr>
        <w:spacing w:line="360" w:lineRule="auto"/>
        <w:rPr>
          <w:rFonts w:hint="eastAsia"/>
        </w:rPr>
      </w:pPr>
      <w:r>
        <w:rPr>
          <w:rFonts w:ascii="Times New Roman" w:hAnsi="Times New Roman" w:cs="Times New Roman"/>
        </w:rPr>
        <w:t>E</w:t>
      </w:r>
      <w:r>
        <w:rPr>
          <w:rFonts w:ascii="Times New Roman" w:hAnsi="Times New Roman" w:cs="Times New Roman"/>
        </w:rPr>
        <w:t>：编码器推断的外生噪声向量</w:t>
      </w:r>
    </w:p>
    <w:p w14:paraId="213F86E2" w14:textId="77777777" w:rsidR="00DC087A" w:rsidRDefault="00000000">
      <w:pPr>
        <w:spacing w:line="360" w:lineRule="auto"/>
        <w:rPr>
          <w:rFonts w:hint="eastAsia"/>
        </w:rPr>
      </w:pPr>
      <w:r>
        <w:rPr>
          <w:rFonts w:ascii="Times New Roman" w:hAnsi="Times New Roman" w:cs="Times New Roman"/>
        </w:rPr>
        <w:t>anchor_context</w:t>
      </w:r>
      <w:r>
        <w:rPr>
          <w:rFonts w:ascii="Times New Roman" w:hAnsi="Times New Roman" w:cs="Times New Roman"/>
        </w:rPr>
        <w:t>：锚定临床变量对系统状态的调节信号</w:t>
      </w:r>
    </w:p>
    <w:p w14:paraId="68E26237" w14:textId="77777777" w:rsidR="00DC087A" w:rsidRDefault="00000000">
      <w:pPr>
        <w:spacing w:line="360" w:lineRule="auto"/>
        <w:rPr>
          <w:rFonts w:hint="eastAsia"/>
        </w:rPr>
      </w:pPr>
      <w:r>
        <w:rPr>
          <w:rFonts w:ascii="Times New Roman" w:hAnsi="Times New Roman" w:cs="Times New Roman"/>
        </w:rPr>
        <w:t>Z</w:t>
      </w:r>
      <w:r>
        <w:rPr>
          <w:rFonts w:ascii="Times New Roman" w:hAnsi="Times New Roman" w:cs="Times New Roman"/>
        </w:rPr>
        <w:t>：经因果传导后的共享潜变量</w:t>
      </w:r>
    </w:p>
    <w:p w14:paraId="7C09BCB0" w14:textId="77777777" w:rsidR="00DC087A" w:rsidRDefault="00000000">
      <w:pPr>
        <w:pStyle w:val="2"/>
        <w:rPr>
          <w:rFonts w:hint="eastAsia"/>
        </w:rPr>
      </w:pPr>
      <w:r>
        <w:t>3.3 医学先验约束</w:t>
      </w:r>
    </w:p>
    <w:p w14:paraId="5EDC5527" w14:textId="77777777" w:rsidR="00DC087A" w:rsidRDefault="00000000">
      <w:pPr>
        <w:spacing w:line="360" w:lineRule="auto"/>
        <w:ind w:firstLine="480"/>
        <w:rPr>
          <w:rFonts w:hint="eastAsia"/>
        </w:rPr>
      </w:pPr>
      <w:r>
        <w:rPr>
          <w:rFonts w:ascii="Times New Roman" w:hAnsi="Times New Roman" w:cs="Times New Roman"/>
        </w:rPr>
        <w:t>模型通过邻接矩阵掩码，强制限定因果方向仅为</w:t>
      </w:r>
      <w:r>
        <w:rPr>
          <w:rFonts w:ascii="Times New Roman" w:hAnsi="Times New Roman" w:cs="Times New Roman"/>
        </w:rPr>
        <w:t xml:space="preserve"> Protein/Metabolite → Outcome</w:t>
      </w:r>
      <w:r>
        <w:rPr>
          <w:rFonts w:ascii="Times New Roman" w:hAnsi="Times New Roman" w:cs="Times New Roman"/>
        </w:rPr>
        <w:t>，严格禁止反向因果边。</w:t>
      </w:r>
      <w:r>
        <w:rPr>
          <w:rFonts w:ascii="Times New Roman" w:hAnsi="Times New Roman" w:cs="Times New Roman"/>
        </w:rPr>
        <w:t xml:space="preserve">Outcome </w:t>
      </w:r>
      <w:r>
        <w:rPr>
          <w:rFonts w:ascii="Times New Roman" w:hAnsi="Times New Roman" w:cs="Times New Roman"/>
        </w:rPr>
        <w:t>节点间同样施加极强稀疏惩罚（权重</w:t>
      </w:r>
      <w:r>
        <w:rPr>
          <w:rFonts w:ascii="Times New Roman" w:hAnsi="Times New Roman" w:cs="Times New Roman"/>
        </w:rPr>
        <w:t xml:space="preserve"> 999.0</w:t>
      </w:r>
      <w:r>
        <w:rPr>
          <w:rFonts w:ascii="Times New Roman" w:hAnsi="Times New Roman" w:cs="Times New Roman"/>
        </w:rPr>
        <w:t>），使结局节点之间近似无因果互连。这一约束确保了因果流向符合</w:t>
      </w:r>
      <w:r>
        <w:rPr>
          <w:rFonts w:ascii="Times New Roman" w:hAnsi="Times New Roman" w:cs="Times New Roman"/>
        </w:rPr>
        <w:t>"</w:t>
      </w:r>
      <w:r>
        <w:rPr>
          <w:rFonts w:ascii="Times New Roman" w:hAnsi="Times New Roman" w:cs="Times New Roman"/>
        </w:rPr>
        <w:t>分子层变化驱动临床结局</w:t>
      </w:r>
      <w:r>
        <w:rPr>
          <w:rFonts w:ascii="Times New Roman" w:hAnsi="Times New Roman" w:cs="Times New Roman"/>
        </w:rPr>
        <w:t>"</w:t>
      </w:r>
      <w:r>
        <w:rPr>
          <w:rFonts w:ascii="Times New Roman" w:hAnsi="Times New Roman" w:cs="Times New Roman"/>
        </w:rPr>
        <w:t>的基本医学假设。</w:t>
      </w:r>
    </w:p>
    <w:p w14:paraId="5FFDA815" w14:textId="77777777" w:rsidR="00DC087A" w:rsidRDefault="00000000">
      <w:pPr>
        <w:pStyle w:val="2"/>
        <w:rPr>
          <w:rFonts w:hint="eastAsia"/>
        </w:rPr>
      </w:pPr>
      <w:r>
        <w:t>3.4 特征层因果投影</w:t>
      </w:r>
    </w:p>
    <w:p w14:paraId="1CEFBC4F" w14:textId="77777777" w:rsidR="00DC087A" w:rsidRDefault="00000000">
      <w:pPr>
        <w:spacing w:line="360" w:lineRule="auto"/>
        <w:rPr>
          <w:rFonts w:ascii="Times New Roman" w:hAnsi="Times New Roman" w:cs="Times New Roman"/>
        </w:rPr>
      </w:pPr>
      <w:r>
        <w:rPr>
          <w:rFonts w:ascii="Times New Roman" w:hAnsi="Times New Roman" w:cs="Times New Roman"/>
        </w:rPr>
        <w:t>模型训练完成后，通过线性解码器投影得到特征层因果矩阵：</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056913B6" w14:textId="77777777">
        <w:tc>
          <w:tcPr>
            <w:tcW w:w="500" w:type="pct"/>
            <w:tcBorders>
              <w:top w:val="nil"/>
              <w:left w:val="nil"/>
              <w:bottom w:val="nil"/>
              <w:right w:val="nil"/>
            </w:tcBorders>
          </w:tcPr>
          <w:p w14:paraId="5A3A6358" w14:textId="77777777" w:rsidR="00DC087A" w:rsidRDefault="00DC087A">
            <w:pPr>
              <w:rPr>
                <w:rFonts w:hint="eastAsia"/>
              </w:rPr>
            </w:pPr>
          </w:p>
        </w:tc>
        <w:tc>
          <w:tcPr>
            <w:tcW w:w="4000" w:type="pct"/>
            <w:tcBorders>
              <w:top w:val="nil"/>
              <w:left w:val="nil"/>
              <w:bottom w:val="nil"/>
              <w:right w:val="nil"/>
            </w:tcBorders>
            <w:vAlign w:val="center"/>
          </w:tcPr>
          <w:p w14:paraId="446A07D6" w14:textId="77777777" w:rsidR="00DC087A" w:rsidRDefault="00000000">
            <w:pPr>
              <w:spacing w:before="40" w:after="40"/>
              <w:jc w:val="center"/>
              <w:rPr>
                <w:rFonts w:hint="eastAsia"/>
              </w:rPr>
            </w:pPr>
            <m:oMathPara>
              <m:oMath>
                <m:r>
                  <w:rPr>
                    <w:rFonts w:ascii="Cambria Math" w:hAnsi="Cambria Math"/>
                  </w:rPr>
                  <m:t>G=D×A×</m:t>
                </m:r>
                <m:sSup>
                  <m:sSupPr>
                    <m:ctrlPr>
                      <w:rPr>
                        <w:rFonts w:ascii="Cambria Math" w:hAnsi="Cambria Math"/>
                      </w:rPr>
                    </m:ctrlPr>
                  </m:sSupPr>
                  <m:e>
                    <m:r>
                      <w:rPr>
                        <w:rFonts w:ascii="Cambria Math" w:hAnsi="Cambria Math"/>
                      </w:rPr>
                      <m:t>D</m:t>
                    </m:r>
                  </m:e>
                  <m:sup>
                    <m:r>
                      <w:rPr>
                        <w:rFonts w:ascii="Cambria Math" w:hAnsi="Cambria Math"/>
                      </w:rPr>
                      <m:t>T</m:t>
                    </m:r>
                  </m:sup>
                </m:sSup>
              </m:oMath>
            </m:oMathPara>
          </w:p>
        </w:tc>
        <w:tc>
          <w:tcPr>
            <w:tcW w:w="500" w:type="pct"/>
            <w:tcBorders>
              <w:top w:val="nil"/>
              <w:left w:val="nil"/>
              <w:bottom w:val="nil"/>
              <w:right w:val="nil"/>
            </w:tcBorders>
            <w:vAlign w:val="center"/>
          </w:tcPr>
          <w:p w14:paraId="2F500211" w14:textId="77777777" w:rsidR="00DC087A" w:rsidRDefault="00000000">
            <w:pPr>
              <w:spacing w:before="40" w:after="40"/>
              <w:jc w:val="right"/>
              <w:rPr>
                <w:rFonts w:hint="eastAsia"/>
              </w:rPr>
            </w:pPr>
            <w:r>
              <w:rPr>
                <w:rFonts w:ascii="Times New Roman" w:hAnsi="Times New Roman" w:cs="Times New Roman"/>
                <w:sz w:val="20"/>
                <w:szCs w:val="20"/>
              </w:rPr>
              <w:t>(3-2)</w:t>
            </w:r>
          </w:p>
        </w:tc>
      </w:tr>
    </w:tbl>
    <w:p w14:paraId="0EE1F5B9" w14:textId="77777777" w:rsidR="00DC087A" w:rsidRDefault="00000000">
      <w:pPr>
        <w:spacing w:line="360" w:lineRule="auto"/>
        <w:ind w:firstLine="480"/>
        <w:rPr>
          <w:rFonts w:hint="eastAsia"/>
        </w:rPr>
      </w:pPr>
      <w:r>
        <w:rPr>
          <w:rFonts w:ascii="Times New Roman" w:hAnsi="Times New Roman" w:cs="Times New Roman"/>
        </w:rPr>
        <w:t>其中</w:t>
      </w:r>
      <w:r>
        <w:rPr>
          <w:rFonts w:ascii="Times New Roman" w:hAnsi="Times New Roman" w:cs="Times New Roman"/>
        </w:rPr>
        <w:t xml:space="preserve"> D </w:t>
      </w:r>
      <w:r>
        <w:rPr>
          <w:rFonts w:ascii="Times New Roman" w:hAnsi="Times New Roman" w:cs="Times New Roman"/>
        </w:rPr>
        <w:t>为解码器共享权重矩阵。</w:t>
      </w:r>
      <w:r>
        <w:rPr>
          <w:rFonts w:ascii="Times New Roman" w:hAnsi="Times New Roman" w:cs="Times New Roman"/>
        </w:rPr>
        <w:t xml:space="preserve">G[i, j] </w:t>
      </w:r>
      <w:r>
        <w:rPr>
          <w:rFonts w:ascii="Times New Roman" w:hAnsi="Times New Roman" w:cs="Times New Roman"/>
        </w:rPr>
        <w:t>的物理含义为：特征</w:t>
      </w:r>
      <w:r>
        <w:rPr>
          <w:rFonts w:ascii="Times New Roman" w:hAnsi="Times New Roman" w:cs="Times New Roman"/>
        </w:rPr>
        <w:t xml:space="preserve"> j </w:t>
      </w:r>
      <w:r>
        <w:rPr>
          <w:rFonts w:ascii="Times New Roman" w:hAnsi="Times New Roman" w:cs="Times New Roman"/>
        </w:rPr>
        <w:t>对特征</w:t>
      </w:r>
      <w:r>
        <w:rPr>
          <w:rFonts w:ascii="Times New Roman" w:hAnsi="Times New Roman" w:cs="Times New Roman"/>
        </w:rPr>
        <w:t xml:space="preserve"> i </w:t>
      </w:r>
      <w:r>
        <w:rPr>
          <w:rFonts w:ascii="Times New Roman" w:hAnsi="Times New Roman" w:cs="Times New Roman"/>
        </w:rPr>
        <w:t>的结构投影因果效应。</w:t>
      </w:r>
    </w:p>
    <w:p w14:paraId="7BE078BE" w14:textId="77777777" w:rsidR="00DC087A" w:rsidRDefault="00000000">
      <w:pPr>
        <w:spacing w:line="360" w:lineRule="auto"/>
        <w:ind w:firstLine="480"/>
        <w:rPr>
          <w:rFonts w:hint="eastAsia"/>
        </w:rPr>
      </w:pPr>
      <w:r>
        <w:rPr>
          <w:rFonts w:ascii="Times New Roman" w:hAnsi="Times New Roman" w:cs="Times New Roman" w:hint="eastAsia"/>
        </w:rPr>
        <w:lastRenderedPageBreak/>
        <w:t>作为模型</w:t>
      </w:r>
      <w:r>
        <w:rPr>
          <w:rFonts w:ascii="Times New Roman" w:hAnsi="Times New Roman" w:cs="Times New Roman"/>
        </w:rPr>
        <w:t>的下游分析，核心关注以下产出文件：</w:t>
      </w:r>
    </w:p>
    <w:tbl>
      <w:tblPr>
        <w:tblW w:w="5000" w:type="pct"/>
        <w:tblLayout w:type="fixed"/>
        <w:tblCellMar>
          <w:left w:w="10" w:type="dxa"/>
          <w:right w:w="10" w:type="dxa"/>
        </w:tblCellMar>
        <w:tblLook w:val="04A0" w:firstRow="1" w:lastRow="0" w:firstColumn="1" w:lastColumn="0" w:noHBand="0" w:noVBand="1"/>
      </w:tblPr>
      <w:tblGrid>
        <w:gridCol w:w="2492"/>
        <w:gridCol w:w="5814"/>
      </w:tblGrid>
      <w:tr w:rsidR="00DC087A" w14:paraId="71FA74BA" w14:textId="77777777">
        <w:trPr>
          <w:tblHeader/>
        </w:trPr>
        <w:tc>
          <w:tcPr>
            <w:tcW w:w="1500" w:type="pct"/>
            <w:tcBorders>
              <w:top w:val="single" w:sz="2" w:space="0" w:color="000000"/>
              <w:left w:val="nil"/>
              <w:bottom w:val="single" w:sz="0" w:space="0" w:color="000000"/>
              <w:right w:val="nil"/>
            </w:tcBorders>
            <w:vAlign w:val="center"/>
          </w:tcPr>
          <w:p w14:paraId="60EEF64B" w14:textId="77777777" w:rsidR="00DC087A" w:rsidRDefault="00000000">
            <w:pPr>
              <w:spacing w:before="40" w:after="40" w:line="276" w:lineRule="auto"/>
              <w:jc w:val="center"/>
              <w:rPr>
                <w:rFonts w:hint="eastAsia"/>
              </w:rPr>
            </w:pPr>
            <w:r>
              <w:rPr>
                <w:rFonts w:ascii="Times New Roman" w:hAnsi="Times New Roman" w:cs="Times New Roman"/>
                <w:b/>
                <w:bCs/>
                <w:sz w:val="20"/>
                <w:szCs w:val="20"/>
              </w:rPr>
              <w:t>文件名</w:t>
            </w:r>
          </w:p>
        </w:tc>
        <w:tc>
          <w:tcPr>
            <w:tcW w:w="3500" w:type="pct"/>
            <w:tcBorders>
              <w:top w:val="single" w:sz="2" w:space="0" w:color="000000"/>
              <w:left w:val="nil"/>
              <w:bottom w:val="single" w:sz="0" w:space="0" w:color="000000"/>
              <w:right w:val="nil"/>
            </w:tcBorders>
            <w:vAlign w:val="center"/>
          </w:tcPr>
          <w:p w14:paraId="05276F46" w14:textId="77777777" w:rsidR="00DC087A" w:rsidRDefault="00000000">
            <w:pPr>
              <w:spacing w:before="40" w:after="40" w:line="276" w:lineRule="auto"/>
              <w:jc w:val="center"/>
              <w:rPr>
                <w:rFonts w:hint="eastAsia"/>
              </w:rPr>
            </w:pPr>
            <w:r>
              <w:rPr>
                <w:rFonts w:ascii="Times New Roman" w:hAnsi="Times New Roman" w:cs="Times New Roman"/>
                <w:b/>
                <w:bCs/>
                <w:sz w:val="20"/>
                <w:szCs w:val="20"/>
              </w:rPr>
              <w:t>内容说明</w:t>
            </w:r>
          </w:p>
        </w:tc>
      </w:tr>
      <w:tr w:rsidR="00DC087A" w14:paraId="580F66DE" w14:textId="77777777">
        <w:tc>
          <w:tcPr>
            <w:tcW w:w="1500" w:type="pct"/>
            <w:tcBorders>
              <w:top w:val="nil"/>
              <w:left w:val="nil"/>
              <w:bottom w:val="nil"/>
              <w:right w:val="nil"/>
            </w:tcBorders>
            <w:vAlign w:val="center"/>
          </w:tcPr>
          <w:p w14:paraId="004F29A7" w14:textId="77777777" w:rsidR="00DC087A" w:rsidRDefault="00000000">
            <w:pPr>
              <w:spacing w:before="40" w:after="40" w:line="276" w:lineRule="auto"/>
              <w:jc w:val="left"/>
              <w:rPr>
                <w:rFonts w:hint="eastAsia"/>
              </w:rPr>
            </w:pPr>
            <w:r>
              <w:rPr>
                <w:rFonts w:ascii="Times New Roman" w:hAnsi="Times New Roman" w:cs="Times New Roman"/>
                <w:sz w:val="20"/>
                <w:szCs w:val="20"/>
              </w:rPr>
              <w:t>G_protein_to_outcome.csv</w:t>
            </w:r>
          </w:p>
        </w:tc>
        <w:tc>
          <w:tcPr>
            <w:tcW w:w="3500" w:type="pct"/>
            <w:tcBorders>
              <w:top w:val="nil"/>
              <w:left w:val="nil"/>
              <w:bottom w:val="nil"/>
              <w:right w:val="nil"/>
            </w:tcBorders>
            <w:vAlign w:val="center"/>
          </w:tcPr>
          <w:p w14:paraId="7A5B0394" w14:textId="77777777" w:rsidR="00DC087A" w:rsidRDefault="00000000">
            <w:pPr>
              <w:spacing w:before="40" w:after="40" w:line="276" w:lineRule="auto"/>
              <w:jc w:val="left"/>
              <w:rPr>
                <w:rFonts w:hint="eastAsia"/>
              </w:rPr>
            </w:pPr>
            <w:r>
              <w:rPr>
                <w:rFonts w:ascii="Times New Roman" w:hAnsi="Times New Roman" w:cs="Times New Roman"/>
                <w:sz w:val="20"/>
                <w:szCs w:val="20"/>
              </w:rPr>
              <w:t>蛋白质</w:t>
            </w:r>
            <w:r>
              <w:rPr>
                <w:rFonts w:ascii="Times New Roman" w:hAnsi="Times New Roman" w:cs="Times New Roman"/>
                <w:sz w:val="20"/>
                <w:szCs w:val="20"/>
              </w:rPr>
              <w:t>→</w:t>
            </w:r>
            <w:r>
              <w:rPr>
                <w:rFonts w:ascii="Times New Roman" w:hAnsi="Times New Roman" w:cs="Times New Roman"/>
                <w:sz w:val="20"/>
                <w:szCs w:val="20"/>
              </w:rPr>
              <w:t>临床结局的直接因果效应子矩阵</w:t>
            </w:r>
          </w:p>
        </w:tc>
      </w:tr>
      <w:tr w:rsidR="00DC087A" w14:paraId="3C14129B" w14:textId="77777777">
        <w:tc>
          <w:tcPr>
            <w:tcW w:w="1500" w:type="pct"/>
            <w:tcBorders>
              <w:top w:val="nil"/>
              <w:left w:val="nil"/>
              <w:bottom w:val="nil"/>
              <w:right w:val="nil"/>
            </w:tcBorders>
            <w:vAlign w:val="center"/>
          </w:tcPr>
          <w:p w14:paraId="70BA5383" w14:textId="77777777" w:rsidR="00DC087A" w:rsidRDefault="00000000">
            <w:pPr>
              <w:spacing w:before="40" w:after="40" w:line="276" w:lineRule="auto"/>
              <w:jc w:val="left"/>
              <w:rPr>
                <w:rFonts w:hint="eastAsia"/>
              </w:rPr>
            </w:pPr>
            <w:r>
              <w:rPr>
                <w:rFonts w:ascii="Times New Roman" w:hAnsi="Times New Roman" w:cs="Times New Roman"/>
                <w:sz w:val="20"/>
                <w:szCs w:val="20"/>
              </w:rPr>
              <w:t>G_metabolite_to_outcome.csv</w:t>
            </w:r>
          </w:p>
        </w:tc>
        <w:tc>
          <w:tcPr>
            <w:tcW w:w="3500" w:type="pct"/>
            <w:tcBorders>
              <w:top w:val="nil"/>
              <w:left w:val="nil"/>
              <w:bottom w:val="nil"/>
              <w:right w:val="nil"/>
            </w:tcBorders>
            <w:vAlign w:val="center"/>
          </w:tcPr>
          <w:p w14:paraId="78C325C0" w14:textId="77777777" w:rsidR="00DC087A" w:rsidRDefault="00000000">
            <w:pPr>
              <w:spacing w:before="40" w:after="40" w:line="276" w:lineRule="auto"/>
              <w:jc w:val="left"/>
              <w:rPr>
                <w:rFonts w:hint="eastAsia"/>
              </w:rPr>
            </w:pPr>
            <w:r>
              <w:rPr>
                <w:rFonts w:ascii="Times New Roman" w:hAnsi="Times New Roman" w:cs="Times New Roman"/>
                <w:sz w:val="20"/>
                <w:szCs w:val="20"/>
              </w:rPr>
              <w:t>代谢物</w:t>
            </w:r>
            <w:r>
              <w:rPr>
                <w:rFonts w:ascii="Times New Roman" w:hAnsi="Times New Roman" w:cs="Times New Roman"/>
                <w:sz w:val="20"/>
                <w:szCs w:val="20"/>
              </w:rPr>
              <w:t>→</w:t>
            </w:r>
            <w:r>
              <w:rPr>
                <w:rFonts w:ascii="Times New Roman" w:hAnsi="Times New Roman" w:cs="Times New Roman"/>
                <w:sz w:val="20"/>
                <w:szCs w:val="20"/>
              </w:rPr>
              <w:t>临床结局的直接因果效应子矩阵</w:t>
            </w:r>
          </w:p>
        </w:tc>
      </w:tr>
      <w:tr w:rsidR="00DC087A" w14:paraId="559D5EB4" w14:textId="77777777">
        <w:tc>
          <w:tcPr>
            <w:tcW w:w="1500" w:type="pct"/>
            <w:tcBorders>
              <w:top w:val="nil"/>
              <w:left w:val="nil"/>
              <w:bottom w:val="nil"/>
              <w:right w:val="nil"/>
            </w:tcBorders>
            <w:vAlign w:val="center"/>
          </w:tcPr>
          <w:p w14:paraId="137CDEA4" w14:textId="77777777" w:rsidR="00DC087A" w:rsidRDefault="00000000">
            <w:pPr>
              <w:spacing w:before="40" w:after="40" w:line="276" w:lineRule="auto"/>
              <w:jc w:val="left"/>
              <w:rPr>
                <w:rFonts w:hint="eastAsia"/>
              </w:rPr>
            </w:pPr>
            <w:r>
              <w:rPr>
                <w:rFonts w:ascii="Times New Roman" w:hAnsi="Times New Roman" w:cs="Times New Roman"/>
                <w:sz w:val="20"/>
                <w:szCs w:val="20"/>
              </w:rPr>
              <w:t>feature_projection_G.csv</w:t>
            </w:r>
          </w:p>
        </w:tc>
        <w:tc>
          <w:tcPr>
            <w:tcW w:w="3500" w:type="pct"/>
            <w:tcBorders>
              <w:top w:val="nil"/>
              <w:left w:val="nil"/>
              <w:bottom w:val="nil"/>
              <w:right w:val="nil"/>
            </w:tcBorders>
            <w:vAlign w:val="center"/>
          </w:tcPr>
          <w:p w14:paraId="6664E1E8" w14:textId="77777777" w:rsidR="00DC087A" w:rsidRDefault="00000000">
            <w:pPr>
              <w:spacing w:before="40" w:after="40" w:line="276" w:lineRule="auto"/>
              <w:jc w:val="left"/>
              <w:rPr>
                <w:rFonts w:hint="eastAsia"/>
              </w:rPr>
            </w:pPr>
            <w:r>
              <w:rPr>
                <w:rFonts w:ascii="Times New Roman" w:hAnsi="Times New Roman" w:cs="Times New Roman"/>
                <w:sz w:val="20"/>
                <w:szCs w:val="20"/>
              </w:rPr>
              <w:t>完整特征层因果投影矩阵（含全部跨组学和组学内边）</w:t>
            </w:r>
          </w:p>
        </w:tc>
      </w:tr>
      <w:tr w:rsidR="00DC087A" w14:paraId="2F0314B7" w14:textId="77777777">
        <w:tc>
          <w:tcPr>
            <w:tcW w:w="1500" w:type="pct"/>
            <w:tcBorders>
              <w:top w:val="nil"/>
              <w:left w:val="nil"/>
              <w:bottom w:val="nil"/>
              <w:right w:val="nil"/>
            </w:tcBorders>
            <w:vAlign w:val="center"/>
          </w:tcPr>
          <w:p w14:paraId="68A78523" w14:textId="77777777" w:rsidR="00DC087A" w:rsidRDefault="00000000">
            <w:pPr>
              <w:spacing w:before="40" w:after="40" w:line="276" w:lineRule="auto"/>
              <w:jc w:val="left"/>
              <w:rPr>
                <w:rFonts w:hint="eastAsia"/>
              </w:rPr>
            </w:pPr>
            <w:r>
              <w:rPr>
                <w:rFonts w:ascii="Times New Roman" w:hAnsi="Times New Roman" w:cs="Times New Roman"/>
                <w:sz w:val="20"/>
                <w:szCs w:val="20"/>
              </w:rPr>
              <w:t>latent_causal_A.csv</w:t>
            </w:r>
          </w:p>
        </w:tc>
        <w:tc>
          <w:tcPr>
            <w:tcW w:w="3500" w:type="pct"/>
            <w:tcBorders>
              <w:top w:val="nil"/>
              <w:left w:val="nil"/>
              <w:bottom w:val="nil"/>
              <w:right w:val="nil"/>
            </w:tcBorders>
            <w:vAlign w:val="center"/>
          </w:tcPr>
          <w:p w14:paraId="637149B7" w14:textId="77777777" w:rsidR="00DC087A" w:rsidRDefault="00000000">
            <w:pPr>
              <w:spacing w:before="40" w:after="40" w:line="276" w:lineRule="auto"/>
              <w:jc w:val="left"/>
              <w:rPr>
                <w:rFonts w:hint="eastAsia"/>
              </w:rPr>
            </w:pPr>
            <w:r>
              <w:rPr>
                <w:rFonts w:ascii="Times New Roman" w:hAnsi="Times New Roman" w:cs="Times New Roman"/>
                <w:sz w:val="20"/>
                <w:szCs w:val="20"/>
              </w:rPr>
              <w:t>潜变量层因果邻接矩阵</w:t>
            </w:r>
          </w:p>
        </w:tc>
      </w:tr>
      <w:tr w:rsidR="00DC087A" w14:paraId="57C44C03" w14:textId="77777777">
        <w:tc>
          <w:tcPr>
            <w:tcW w:w="1500" w:type="pct"/>
            <w:tcBorders>
              <w:top w:val="nil"/>
              <w:left w:val="nil"/>
              <w:bottom w:val="single" w:sz="2" w:space="0" w:color="000000"/>
              <w:right w:val="nil"/>
            </w:tcBorders>
            <w:vAlign w:val="center"/>
          </w:tcPr>
          <w:p w14:paraId="176DF96A" w14:textId="77777777" w:rsidR="00DC087A" w:rsidRDefault="00000000">
            <w:pPr>
              <w:spacing w:before="40" w:after="40" w:line="276" w:lineRule="auto"/>
              <w:jc w:val="left"/>
              <w:rPr>
                <w:rFonts w:hint="eastAsia"/>
              </w:rPr>
            </w:pPr>
            <w:r>
              <w:rPr>
                <w:rFonts w:ascii="Times New Roman" w:hAnsi="Times New Roman" w:cs="Times New Roman"/>
                <w:sz w:val="20"/>
                <w:szCs w:val="20"/>
              </w:rPr>
              <w:t>decoder_projection_D.csv</w:t>
            </w:r>
          </w:p>
        </w:tc>
        <w:tc>
          <w:tcPr>
            <w:tcW w:w="3500" w:type="pct"/>
            <w:tcBorders>
              <w:top w:val="nil"/>
              <w:left w:val="nil"/>
              <w:bottom w:val="single" w:sz="2" w:space="0" w:color="000000"/>
              <w:right w:val="nil"/>
            </w:tcBorders>
            <w:vAlign w:val="center"/>
          </w:tcPr>
          <w:p w14:paraId="000D0407" w14:textId="77777777" w:rsidR="00DC087A" w:rsidRDefault="00000000">
            <w:pPr>
              <w:spacing w:before="40" w:after="40" w:line="276" w:lineRule="auto"/>
              <w:jc w:val="left"/>
              <w:rPr>
                <w:rFonts w:hint="eastAsia"/>
              </w:rPr>
            </w:pPr>
            <w:r>
              <w:rPr>
                <w:rFonts w:ascii="Times New Roman" w:hAnsi="Times New Roman" w:cs="Times New Roman"/>
                <w:sz w:val="20"/>
                <w:szCs w:val="20"/>
              </w:rPr>
              <w:t>解码器投影矩阵</w:t>
            </w:r>
          </w:p>
        </w:tc>
      </w:tr>
    </w:tbl>
    <w:p w14:paraId="555415C0" w14:textId="77777777" w:rsidR="00DC087A" w:rsidRDefault="00DC087A">
      <w:pPr>
        <w:pStyle w:val="1"/>
        <w:jc w:val="center"/>
        <w:rPr>
          <w:rFonts w:hint="eastAsia"/>
        </w:rPr>
      </w:pPr>
    </w:p>
    <w:p w14:paraId="61631831" w14:textId="77777777" w:rsidR="00DC087A" w:rsidRDefault="00000000">
      <w:pPr>
        <w:pStyle w:val="1"/>
        <w:jc w:val="center"/>
        <w:rPr>
          <w:rFonts w:hint="eastAsia"/>
        </w:rPr>
      </w:pPr>
      <w:r>
        <w:t>四、</w:t>
      </w:r>
      <w:r>
        <w:rPr>
          <w:rFonts w:hint="eastAsia"/>
        </w:rPr>
        <w:t>研究内容</w:t>
      </w:r>
    </w:p>
    <w:p w14:paraId="244E0207" w14:textId="77777777" w:rsidR="00DC087A" w:rsidRDefault="00000000">
      <w:pPr>
        <w:pStyle w:val="2"/>
        <w:rPr>
          <w:rFonts w:hint="eastAsia"/>
        </w:rPr>
      </w:pPr>
      <w:r>
        <w:t>4.1 模型定型与结果导出</w:t>
      </w:r>
    </w:p>
    <w:p w14:paraId="32A7A58F" w14:textId="77777777" w:rsidR="00DC087A" w:rsidRDefault="00000000">
      <w:pPr>
        <w:spacing w:line="360" w:lineRule="auto"/>
        <w:ind w:firstLine="480"/>
        <w:rPr>
          <w:rFonts w:ascii="Times New Roman" w:hAnsi="Times New Roman" w:cs="Times New Roman"/>
        </w:rPr>
      </w:pPr>
      <w:r>
        <w:rPr>
          <w:rFonts w:ascii="Times New Roman" w:hAnsi="Times New Roman" w:cs="Times New Roman" w:hint="eastAsia"/>
        </w:rPr>
        <w:t>整合</w:t>
      </w:r>
      <w:r>
        <w:rPr>
          <w:rFonts w:ascii="Times New Roman" w:hAnsi="Times New Roman" w:cs="Times New Roman" w:hint="eastAsia"/>
        </w:rPr>
        <w:t xml:space="preserve"> ACLF </w:t>
      </w:r>
      <w:r>
        <w:rPr>
          <w:rFonts w:ascii="Times New Roman" w:hAnsi="Times New Roman" w:cs="Times New Roman" w:hint="eastAsia"/>
        </w:rPr>
        <w:t>患者的蛋白质组、代谢组、锚定临床变量和临床结局指标，构建多组学结构因果表征模型。模型设计将遵循</w:t>
      </w:r>
      <w:r>
        <w:rPr>
          <w:rFonts w:ascii="Times New Roman" w:hAnsi="Times New Roman" w:cs="Times New Roman" w:hint="eastAsia"/>
        </w:rPr>
        <w:t xml:space="preserve"> ACLF </w:t>
      </w:r>
      <w:r>
        <w:rPr>
          <w:rFonts w:ascii="Times New Roman" w:hAnsi="Times New Roman" w:cs="Times New Roman" w:hint="eastAsia"/>
        </w:rPr>
        <w:t>的基本医学假设，即分子层异常可能通过炎症反应、免疫失衡、代谢紊乱和器官功能损伤等路径影响临床结局，而临床结局不应反向作为分子变化的原因。</w:t>
      </w:r>
    </w:p>
    <w:p w14:paraId="4B9481E4" w14:textId="77777777" w:rsidR="00DC087A" w:rsidRDefault="00000000">
      <w:pPr>
        <w:spacing w:line="360" w:lineRule="auto"/>
        <w:ind w:firstLine="480"/>
        <w:rPr>
          <w:rFonts w:ascii="Times New Roman" w:hAnsi="Times New Roman" w:cs="Times New Roman"/>
        </w:rPr>
      </w:pPr>
      <w:r>
        <w:rPr>
          <w:rFonts w:ascii="Times New Roman" w:hAnsi="Times New Roman" w:cs="Times New Roman" w:hint="eastAsia"/>
        </w:rPr>
        <w:t>在此基础上，模型将学习蛋白质、代谢物和临床结局之间的低维结构化关系，并通过临床先验约束限制不合理的因果方向，从而提高模型输出的医学可解释性。</w:t>
      </w:r>
    </w:p>
    <w:p w14:paraId="53E7E7C3" w14:textId="77777777" w:rsidR="00DC087A" w:rsidRDefault="00000000">
      <w:pPr>
        <w:spacing w:line="360" w:lineRule="auto"/>
        <w:ind w:firstLine="480"/>
        <w:rPr>
          <w:rFonts w:hint="eastAsia"/>
        </w:rPr>
      </w:pPr>
      <w:r>
        <w:rPr>
          <w:rFonts w:ascii="Times New Roman" w:hAnsi="Times New Roman" w:cs="Times New Roman"/>
        </w:rPr>
        <w:t>首先固定当前模型架构，完成多</w:t>
      </w:r>
      <w:r>
        <w:rPr>
          <w:rFonts w:ascii="Times New Roman" w:hAnsi="Times New Roman" w:cs="Times New Roman"/>
        </w:rPr>
        <w:t xml:space="preserve"> seed </w:t>
      </w:r>
      <w:r>
        <w:rPr>
          <w:rFonts w:ascii="Times New Roman" w:hAnsi="Times New Roman" w:cs="Times New Roman"/>
        </w:rPr>
        <w:t>训练。每次训练均导出完整模型产物，包括潜变量因果图、解码器投影矩阵、特征层投影矩阵、分子到结局子矩阵及训练历史文件。</w:t>
      </w:r>
    </w:p>
    <w:p w14:paraId="21659956" w14:textId="77777777" w:rsidR="00DC087A" w:rsidRDefault="00000000">
      <w:pPr>
        <w:spacing w:line="360" w:lineRule="auto"/>
        <w:ind w:firstLine="480"/>
        <w:rPr>
          <w:rFonts w:hint="eastAsia"/>
        </w:rPr>
      </w:pPr>
      <w:r>
        <w:rPr>
          <w:rFonts w:ascii="Times New Roman" w:hAnsi="Times New Roman" w:cs="Times New Roman"/>
        </w:rPr>
        <w:t>模型定型不应仅依据训练损失，而应综合评估以下指标体系：</w:t>
      </w:r>
    </w:p>
    <w:tbl>
      <w:tblPr>
        <w:tblW w:w="5000" w:type="pct"/>
        <w:tblLayout w:type="fixed"/>
        <w:tblCellMar>
          <w:left w:w="10" w:type="dxa"/>
          <w:right w:w="10" w:type="dxa"/>
        </w:tblCellMar>
        <w:tblLook w:val="04A0" w:firstRow="1" w:lastRow="0" w:firstColumn="1" w:lastColumn="0" w:noHBand="0" w:noVBand="1"/>
      </w:tblPr>
      <w:tblGrid>
        <w:gridCol w:w="3062"/>
        <w:gridCol w:w="5244"/>
      </w:tblGrid>
      <w:tr w:rsidR="00DC087A" w14:paraId="2BE5612C" w14:textId="77777777">
        <w:trPr>
          <w:tblHeader/>
        </w:trPr>
        <w:tc>
          <w:tcPr>
            <w:tcW w:w="1843" w:type="pct"/>
            <w:tcBorders>
              <w:top w:val="single" w:sz="2" w:space="0" w:color="000000"/>
              <w:left w:val="nil"/>
              <w:bottom w:val="single" w:sz="0" w:space="0" w:color="000000"/>
              <w:right w:val="nil"/>
            </w:tcBorders>
            <w:shd w:val="clear" w:color="auto" w:fill="D9E2F3"/>
            <w:vAlign w:val="center"/>
          </w:tcPr>
          <w:p w14:paraId="4F53BECD" w14:textId="77777777" w:rsidR="00DC087A" w:rsidRDefault="00000000">
            <w:pPr>
              <w:spacing w:before="40" w:after="40" w:line="276" w:lineRule="auto"/>
              <w:jc w:val="center"/>
              <w:rPr>
                <w:rFonts w:ascii="Times New Roman" w:hAnsi="Times New Roman" w:cs="Times New Roman"/>
                <w:b/>
                <w:bCs/>
              </w:rPr>
            </w:pPr>
            <w:r>
              <w:rPr>
                <w:rFonts w:ascii="Times New Roman" w:hAnsi="Times New Roman" w:cs="Times New Roman"/>
                <w:b/>
                <w:bCs/>
              </w:rPr>
              <w:t>评估维度</w:t>
            </w:r>
          </w:p>
        </w:tc>
        <w:tc>
          <w:tcPr>
            <w:tcW w:w="3156" w:type="pct"/>
            <w:tcBorders>
              <w:top w:val="single" w:sz="2" w:space="0" w:color="000000"/>
              <w:left w:val="nil"/>
              <w:bottom w:val="single" w:sz="0" w:space="0" w:color="000000"/>
              <w:right w:val="nil"/>
            </w:tcBorders>
            <w:shd w:val="clear" w:color="auto" w:fill="D9E2F3"/>
            <w:vAlign w:val="center"/>
          </w:tcPr>
          <w:p w14:paraId="1A02C910" w14:textId="77777777" w:rsidR="00DC087A" w:rsidRDefault="00000000">
            <w:pPr>
              <w:spacing w:before="40" w:after="40" w:line="276" w:lineRule="auto"/>
              <w:jc w:val="center"/>
              <w:rPr>
                <w:rFonts w:ascii="Times New Roman" w:hAnsi="Times New Roman" w:cs="Times New Roman"/>
                <w:b/>
                <w:bCs/>
              </w:rPr>
            </w:pPr>
            <w:r>
              <w:rPr>
                <w:rFonts w:ascii="Times New Roman" w:hAnsi="Times New Roman" w:cs="Times New Roman"/>
                <w:b/>
                <w:bCs/>
              </w:rPr>
              <w:t>具体指标</w:t>
            </w:r>
          </w:p>
        </w:tc>
      </w:tr>
      <w:tr w:rsidR="00DC087A" w14:paraId="40FA0725" w14:textId="77777777">
        <w:trPr>
          <w:trHeight w:val="567"/>
        </w:trPr>
        <w:tc>
          <w:tcPr>
            <w:tcW w:w="1843" w:type="pct"/>
            <w:tcBorders>
              <w:top w:val="nil"/>
              <w:left w:val="nil"/>
              <w:bottom w:val="nil"/>
              <w:right w:val="nil"/>
            </w:tcBorders>
            <w:vAlign w:val="center"/>
          </w:tcPr>
          <w:p w14:paraId="09DB44DF" w14:textId="77777777" w:rsidR="00DC087A" w:rsidRDefault="00000000">
            <w:pPr>
              <w:spacing w:before="40" w:after="40" w:line="276" w:lineRule="auto"/>
              <w:jc w:val="center"/>
              <w:rPr>
                <w:rFonts w:ascii="Times New Roman" w:hAnsi="Times New Roman" w:cs="Times New Roman"/>
              </w:rPr>
            </w:pPr>
            <w:r>
              <w:rPr>
                <w:rFonts w:ascii="Times New Roman" w:hAnsi="Times New Roman" w:cs="Times New Roman"/>
              </w:rPr>
              <w:t>重构质量</w:t>
            </w:r>
          </w:p>
        </w:tc>
        <w:tc>
          <w:tcPr>
            <w:tcW w:w="3156" w:type="pct"/>
            <w:tcBorders>
              <w:top w:val="nil"/>
              <w:left w:val="nil"/>
              <w:bottom w:val="nil"/>
              <w:right w:val="nil"/>
            </w:tcBorders>
            <w:vAlign w:val="center"/>
          </w:tcPr>
          <w:p w14:paraId="7164A4D4" w14:textId="77777777" w:rsidR="00DC087A" w:rsidRDefault="00000000">
            <w:pPr>
              <w:spacing w:before="40" w:after="40" w:line="276" w:lineRule="auto"/>
              <w:rPr>
                <w:rFonts w:ascii="Times New Roman" w:hAnsi="Times New Roman" w:cs="Times New Roman"/>
              </w:rPr>
            </w:pPr>
            <w:r>
              <w:rPr>
                <w:rFonts w:ascii="Times New Roman" w:hAnsi="Times New Roman" w:cs="Times New Roman"/>
              </w:rPr>
              <w:t>蛋白质</w:t>
            </w:r>
            <w:r>
              <w:rPr>
                <w:rFonts w:ascii="Times New Roman" w:hAnsi="Times New Roman" w:cs="Times New Roman"/>
              </w:rPr>
              <w:t>/</w:t>
            </w:r>
            <w:r>
              <w:rPr>
                <w:rFonts w:ascii="Times New Roman" w:hAnsi="Times New Roman" w:cs="Times New Roman"/>
              </w:rPr>
              <w:t>代谢物重构误差、</w:t>
            </w:r>
            <w:r>
              <w:rPr>
                <w:rFonts w:ascii="Times New Roman" w:hAnsi="Times New Roman" w:cs="Times New Roman"/>
              </w:rPr>
              <w:t xml:space="preserve">Outcome </w:t>
            </w:r>
            <w:r>
              <w:rPr>
                <w:rFonts w:ascii="Times New Roman" w:hAnsi="Times New Roman" w:cs="Times New Roman"/>
              </w:rPr>
              <w:t>连续变量</w:t>
            </w:r>
            <w:r>
              <w:rPr>
                <w:rFonts w:ascii="Times New Roman" w:hAnsi="Times New Roman" w:cs="Times New Roman"/>
              </w:rPr>
              <w:t xml:space="preserve"> MSE</w:t>
            </w:r>
            <w:r>
              <w:rPr>
                <w:rFonts w:ascii="Times New Roman" w:hAnsi="Times New Roman" w:cs="Times New Roman"/>
              </w:rPr>
              <w:t>、</w:t>
            </w:r>
            <w:r>
              <w:rPr>
                <w:rFonts w:ascii="Times New Roman" w:hAnsi="Times New Roman" w:cs="Times New Roman"/>
              </w:rPr>
              <w:t xml:space="preserve">Outcome </w:t>
            </w:r>
            <w:r>
              <w:rPr>
                <w:rFonts w:ascii="Times New Roman" w:hAnsi="Times New Roman" w:cs="Times New Roman"/>
              </w:rPr>
              <w:t>二分类</w:t>
            </w:r>
            <w:r>
              <w:rPr>
                <w:rFonts w:ascii="Times New Roman" w:hAnsi="Times New Roman" w:cs="Times New Roman"/>
              </w:rPr>
              <w:t xml:space="preserve"> BCE</w:t>
            </w:r>
          </w:p>
        </w:tc>
      </w:tr>
      <w:tr w:rsidR="00DC087A" w14:paraId="253D3569" w14:textId="77777777">
        <w:trPr>
          <w:trHeight w:val="567"/>
        </w:trPr>
        <w:tc>
          <w:tcPr>
            <w:tcW w:w="1843" w:type="pct"/>
            <w:tcBorders>
              <w:top w:val="nil"/>
              <w:left w:val="nil"/>
              <w:bottom w:val="nil"/>
              <w:right w:val="nil"/>
            </w:tcBorders>
            <w:vAlign w:val="center"/>
          </w:tcPr>
          <w:p w14:paraId="31D7AF3F" w14:textId="77777777" w:rsidR="00DC087A" w:rsidRDefault="00000000">
            <w:pPr>
              <w:spacing w:before="40" w:after="40" w:line="276" w:lineRule="auto"/>
              <w:jc w:val="center"/>
              <w:rPr>
                <w:rFonts w:ascii="Times New Roman" w:hAnsi="Times New Roman" w:cs="Times New Roman"/>
              </w:rPr>
            </w:pPr>
            <w:r>
              <w:rPr>
                <w:rFonts w:ascii="Times New Roman" w:hAnsi="Times New Roman" w:cs="Times New Roman"/>
              </w:rPr>
              <w:t>图结构质量</w:t>
            </w:r>
          </w:p>
        </w:tc>
        <w:tc>
          <w:tcPr>
            <w:tcW w:w="3156" w:type="pct"/>
            <w:tcBorders>
              <w:top w:val="nil"/>
              <w:left w:val="nil"/>
              <w:bottom w:val="nil"/>
              <w:right w:val="nil"/>
            </w:tcBorders>
            <w:vAlign w:val="center"/>
          </w:tcPr>
          <w:p w14:paraId="00E86C76" w14:textId="77777777" w:rsidR="00DC087A" w:rsidRDefault="00000000">
            <w:pPr>
              <w:spacing w:before="40" w:after="40" w:line="276" w:lineRule="auto"/>
              <w:rPr>
                <w:rFonts w:ascii="Times New Roman" w:hAnsi="Times New Roman" w:cs="Times New Roman"/>
              </w:rPr>
            </w:pPr>
            <w:r>
              <w:rPr>
                <w:rFonts w:ascii="Times New Roman" w:hAnsi="Times New Roman" w:cs="Times New Roman"/>
              </w:rPr>
              <w:t xml:space="preserve">SCM </w:t>
            </w:r>
            <w:r>
              <w:rPr>
                <w:rFonts w:ascii="Times New Roman" w:hAnsi="Times New Roman" w:cs="Times New Roman"/>
              </w:rPr>
              <w:t>稀疏度、</w:t>
            </w:r>
            <w:r>
              <w:rPr>
                <w:rFonts w:ascii="Times New Roman" w:hAnsi="Times New Roman" w:cs="Times New Roman"/>
              </w:rPr>
              <w:t xml:space="preserve">DAG </w:t>
            </w:r>
            <w:r>
              <w:rPr>
                <w:rFonts w:ascii="Times New Roman" w:hAnsi="Times New Roman" w:cs="Times New Roman"/>
              </w:rPr>
              <w:t>约束满足程度、不同</w:t>
            </w:r>
            <w:r>
              <w:rPr>
                <w:rFonts w:ascii="Times New Roman" w:hAnsi="Times New Roman" w:cs="Times New Roman"/>
              </w:rPr>
              <w:t xml:space="preserve"> block </w:t>
            </w:r>
            <w:r>
              <w:rPr>
                <w:rFonts w:ascii="Times New Roman" w:hAnsi="Times New Roman" w:cs="Times New Roman"/>
              </w:rPr>
              <w:t>的</w:t>
            </w:r>
            <w:r>
              <w:rPr>
                <w:rFonts w:ascii="Times New Roman" w:hAnsi="Times New Roman" w:cs="Times New Roman"/>
              </w:rPr>
              <w:t xml:space="preserve"> gate mean </w:t>
            </w:r>
            <w:r>
              <w:rPr>
                <w:rFonts w:ascii="Times New Roman" w:hAnsi="Times New Roman" w:cs="Times New Roman"/>
              </w:rPr>
              <w:t>分布</w:t>
            </w:r>
          </w:p>
        </w:tc>
      </w:tr>
      <w:tr w:rsidR="00DC087A" w14:paraId="06D9778D" w14:textId="77777777">
        <w:trPr>
          <w:trHeight w:val="567"/>
        </w:trPr>
        <w:tc>
          <w:tcPr>
            <w:tcW w:w="1843" w:type="pct"/>
            <w:tcBorders>
              <w:top w:val="nil"/>
              <w:left w:val="nil"/>
              <w:bottom w:val="single" w:sz="2" w:space="0" w:color="000000"/>
              <w:right w:val="nil"/>
            </w:tcBorders>
            <w:vAlign w:val="center"/>
          </w:tcPr>
          <w:p w14:paraId="4D68D522" w14:textId="77777777" w:rsidR="00DC087A" w:rsidRDefault="00000000">
            <w:pPr>
              <w:spacing w:before="40" w:after="40" w:line="276" w:lineRule="auto"/>
              <w:jc w:val="center"/>
              <w:rPr>
                <w:rFonts w:ascii="Times New Roman" w:hAnsi="Times New Roman" w:cs="Times New Roman"/>
              </w:rPr>
            </w:pPr>
            <w:r>
              <w:rPr>
                <w:rFonts w:ascii="Times New Roman" w:hAnsi="Times New Roman" w:cs="Times New Roman"/>
              </w:rPr>
              <w:t>稳定性</w:t>
            </w:r>
          </w:p>
        </w:tc>
        <w:tc>
          <w:tcPr>
            <w:tcW w:w="3156" w:type="pct"/>
            <w:tcBorders>
              <w:top w:val="nil"/>
              <w:left w:val="nil"/>
              <w:bottom w:val="single" w:sz="2" w:space="0" w:color="000000"/>
              <w:right w:val="nil"/>
            </w:tcBorders>
            <w:vAlign w:val="center"/>
          </w:tcPr>
          <w:p w14:paraId="21173CD7" w14:textId="77777777" w:rsidR="00DC087A" w:rsidRDefault="00000000">
            <w:pPr>
              <w:spacing w:before="40" w:after="40" w:line="276" w:lineRule="auto"/>
              <w:rPr>
                <w:rFonts w:ascii="Times New Roman" w:hAnsi="Times New Roman" w:cs="Times New Roman"/>
              </w:rPr>
            </w:pPr>
            <w:r>
              <w:rPr>
                <w:rFonts w:ascii="Times New Roman" w:hAnsi="Times New Roman" w:cs="Times New Roman"/>
              </w:rPr>
              <w:t>跨</w:t>
            </w:r>
            <w:r>
              <w:rPr>
                <w:rFonts w:ascii="Times New Roman" w:hAnsi="Times New Roman" w:cs="Times New Roman"/>
              </w:rPr>
              <w:t xml:space="preserve"> seed </w:t>
            </w:r>
            <w:r>
              <w:rPr>
                <w:rFonts w:ascii="Times New Roman" w:hAnsi="Times New Roman" w:cs="Times New Roman"/>
              </w:rPr>
              <w:t>图结构一致性、</w:t>
            </w:r>
            <w:r>
              <w:rPr>
                <w:rFonts w:ascii="Times New Roman" w:hAnsi="Times New Roman" w:cs="Times New Roman"/>
              </w:rPr>
              <w:t xml:space="preserve">Top edge </w:t>
            </w:r>
            <w:r>
              <w:rPr>
                <w:rFonts w:ascii="Times New Roman" w:hAnsi="Times New Roman" w:cs="Times New Roman"/>
              </w:rPr>
              <w:t>跨</w:t>
            </w:r>
            <w:r>
              <w:rPr>
                <w:rFonts w:ascii="Times New Roman" w:hAnsi="Times New Roman" w:cs="Times New Roman"/>
              </w:rPr>
              <w:t xml:space="preserve"> seed </w:t>
            </w:r>
            <w:r>
              <w:rPr>
                <w:rFonts w:ascii="Times New Roman" w:hAnsi="Times New Roman" w:cs="Times New Roman"/>
              </w:rPr>
              <w:t>重叠率</w:t>
            </w:r>
          </w:p>
        </w:tc>
      </w:tr>
    </w:tbl>
    <w:p w14:paraId="23BD60F5" w14:textId="77777777" w:rsidR="00DC087A" w:rsidRDefault="00DC087A">
      <w:pPr>
        <w:spacing w:line="360" w:lineRule="auto"/>
        <w:ind w:firstLine="480"/>
        <w:rPr>
          <w:rFonts w:ascii="Times New Roman" w:hAnsi="Times New Roman" w:cs="Times New Roman"/>
        </w:rPr>
      </w:pPr>
    </w:p>
    <w:p w14:paraId="034BC628" w14:textId="77777777" w:rsidR="00DC087A" w:rsidRDefault="00000000">
      <w:pPr>
        <w:spacing w:line="360" w:lineRule="auto"/>
        <w:ind w:firstLine="480"/>
        <w:rPr>
          <w:rFonts w:hint="eastAsia"/>
        </w:rPr>
      </w:pPr>
      <w:r>
        <w:rPr>
          <w:rFonts w:ascii="Times New Roman" w:hAnsi="Times New Roman" w:cs="Times New Roman"/>
        </w:rPr>
        <w:lastRenderedPageBreak/>
        <w:t>只有在模型训练收敛稳定、图结构不过度稠密、且</w:t>
      </w:r>
      <w:r>
        <w:rPr>
          <w:rFonts w:ascii="Times New Roman" w:hAnsi="Times New Roman" w:cs="Times New Roman"/>
        </w:rPr>
        <w:t xml:space="preserve"> Outcome </w:t>
      </w:r>
      <w:r>
        <w:rPr>
          <w:rFonts w:ascii="Times New Roman" w:hAnsi="Times New Roman" w:cs="Times New Roman"/>
        </w:rPr>
        <w:t>相关边具有跨</w:t>
      </w:r>
      <w:r>
        <w:rPr>
          <w:rFonts w:ascii="Times New Roman" w:hAnsi="Times New Roman" w:cs="Times New Roman"/>
        </w:rPr>
        <w:t xml:space="preserve"> seed </w:t>
      </w:r>
      <w:r>
        <w:rPr>
          <w:rFonts w:ascii="Times New Roman" w:hAnsi="Times New Roman" w:cs="Times New Roman"/>
        </w:rPr>
        <w:t>一致性时，方可进入正式的</w:t>
      </w:r>
      <w:r>
        <w:rPr>
          <w:rFonts w:ascii="Times New Roman" w:hAnsi="Times New Roman" w:cs="Times New Roman"/>
        </w:rPr>
        <w:t xml:space="preserve"> biomarker </w:t>
      </w:r>
      <w:r>
        <w:rPr>
          <w:rFonts w:ascii="Times New Roman" w:hAnsi="Times New Roman" w:cs="Times New Roman"/>
        </w:rPr>
        <w:t>挖掘阶段。</w:t>
      </w:r>
    </w:p>
    <w:p w14:paraId="4C15382B" w14:textId="77777777" w:rsidR="00DC087A" w:rsidRDefault="00000000">
      <w:pPr>
        <w:pStyle w:val="2"/>
        <w:rPr>
          <w:rFonts w:hint="eastAsia"/>
        </w:rPr>
      </w:pPr>
      <w:r>
        <w:t>4.2 直接效应候选筛选</w:t>
      </w:r>
    </w:p>
    <w:p w14:paraId="27438C5A" w14:textId="36C72B4B" w:rsidR="00DC087A" w:rsidRDefault="00000000">
      <w:pPr>
        <w:spacing w:line="360" w:lineRule="auto"/>
        <w:ind w:firstLine="480"/>
        <w:rPr>
          <w:rFonts w:hint="eastAsia"/>
        </w:rPr>
      </w:pPr>
      <w:r>
        <w:rPr>
          <w:rFonts w:ascii="Times New Roman" w:hAnsi="Times New Roman" w:cs="Times New Roman"/>
        </w:rPr>
        <w:t>直接效应分析基于模型导出的</w:t>
      </w:r>
      <w:r>
        <w:rPr>
          <w:rFonts w:ascii="Times New Roman" w:hAnsi="Times New Roman" w:cs="Times New Roman"/>
        </w:rPr>
        <w:t xml:space="preserve"> G_protein_to_outcome.csv </w:t>
      </w:r>
      <w:r>
        <w:rPr>
          <w:rFonts w:ascii="Times New Roman" w:hAnsi="Times New Roman" w:cs="Times New Roman"/>
        </w:rPr>
        <w:t>和</w:t>
      </w:r>
      <w:r>
        <w:rPr>
          <w:rFonts w:ascii="Times New Roman" w:hAnsi="Times New Roman" w:cs="Times New Roman"/>
        </w:rPr>
        <w:t xml:space="preserve"> G_metabolite_to_outcome.csv</w:t>
      </w:r>
      <w:r>
        <w:rPr>
          <w:rFonts w:ascii="Times New Roman" w:hAnsi="Times New Roman" w:cs="Times New Roman"/>
        </w:rPr>
        <w:t>。对每个</w:t>
      </w:r>
      <w:r w:rsidR="002163ED">
        <w:rPr>
          <w:rFonts w:ascii="Times New Roman" w:hAnsi="Times New Roman" w:cs="Times New Roman"/>
        </w:rPr>
        <w:t>临床结局</w:t>
      </w:r>
      <w:r>
        <w:rPr>
          <w:rFonts w:ascii="Times New Roman" w:hAnsi="Times New Roman" w:cs="Times New Roman"/>
        </w:rPr>
        <w:t>，提取其对全部</w:t>
      </w:r>
      <w:r w:rsidR="002163ED">
        <w:rPr>
          <w:rFonts w:ascii="Times New Roman" w:hAnsi="Times New Roman" w:cs="Times New Roman"/>
        </w:rPr>
        <w:t>蛋白质或代谢物特征</w:t>
      </w:r>
      <w:r>
        <w:rPr>
          <w:rFonts w:ascii="Times New Roman" w:hAnsi="Times New Roman" w:cs="Times New Roman"/>
        </w:rPr>
        <w:t>的边权向量，同时保留效应方向和绝对效应强度。</w:t>
      </w:r>
    </w:p>
    <w:p w14:paraId="4B78D4AC" w14:textId="77777777" w:rsidR="00DC087A" w:rsidRDefault="00000000">
      <w:pPr>
        <w:spacing w:line="360" w:lineRule="auto"/>
        <w:rPr>
          <w:rFonts w:hint="eastAsia"/>
        </w:rPr>
      </w:pPr>
      <w:r>
        <w:rPr>
          <w:rFonts w:ascii="Times New Roman" w:hAnsi="Times New Roman" w:cs="Times New Roman"/>
        </w:rPr>
        <w:t>对于候选分子，其直接</w:t>
      </w:r>
      <w:r>
        <w:rPr>
          <w:rFonts w:ascii="Times New Roman" w:hAnsi="Times New Roman" w:cs="Times New Roman"/>
        </w:rPr>
        <w:t xml:space="preserve"> Outcome </w:t>
      </w:r>
      <w:r>
        <w:rPr>
          <w:rFonts w:ascii="Times New Roman" w:hAnsi="Times New Roman" w:cs="Times New Roman"/>
        </w:rPr>
        <w:t>效应评分定义为：</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091A549A" w14:textId="77777777">
        <w:tc>
          <w:tcPr>
            <w:tcW w:w="500" w:type="pct"/>
            <w:tcBorders>
              <w:top w:val="nil"/>
              <w:left w:val="nil"/>
              <w:bottom w:val="nil"/>
              <w:right w:val="nil"/>
            </w:tcBorders>
          </w:tcPr>
          <w:p w14:paraId="0D04C6E8" w14:textId="77777777" w:rsidR="00DC087A" w:rsidRDefault="00DC087A">
            <w:pPr>
              <w:rPr>
                <w:rFonts w:hint="eastAsia"/>
              </w:rPr>
            </w:pPr>
          </w:p>
        </w:tc>
        <w:tc>
          <w:tcPr>
            <w:tcW w:w="4000" w:type="pct"/>
            <w:tcBorders>
              <w:top w:val="nil"/>
              <w:left w:val="nil"/>
              <w:bottom w:val="nil"/>
              <w:right w:val="nil"/>
            </w:tcBorders>
            <w:vAlign w:val="center"/>
          </w:tcPr>
          <w:p w14:paraId="24C1F7DF" w14:textId="52B95BA4" w:rsidR="00DC087A" w:rsidRDefault="00000000">
            <w:pPr>
              <w:spacing w:before="40" w:after="40"/>
              <w:jc w:val="center"/>
              <w:rPr>
                <w:rFonts w:hint="eastAsia"/>
              </w:rPr>
            </w:pPr>
            <m:oMathPara>
              <m:oMath>
                <m:sSub>
                  <m:sSubPr>
                    <m:ctrlPr>
                      <w:rPr>
                        <w:rFonts w:ascii="Cambria Math" w:hAnsi="Cambria Math"/>
                      </w:rPr>
                    </m:ctrlPr>
                  </m:sSubPr>
                  <m:e>
                    <m:r>
                      <w:rPr>
                        <w:rFonts w:ascii="Cambria Math" w:hAnsi="Cambria Math"/>
                      </w:rPr>
                      <m:t>DirectScore</m:t>
                    </m:r>
                  </m:e>
                  <m:sub>
                    <m:r>
                      <w:rPr>
                        <w:rFonts w:ascii="Cambria Math" w:hAnsi="Cambria Math"/>
                      </w:rPr>
                      <m:t>j</m:t>
                    </m:r>
                  </m:sub>
                </m:sSub>
                <m:r>
                  <w:rPr>
                    <w:rFonts w:ascii="Cambria Math" w:hAnsi="Cambria Math"/>
                  </w:rPr>
                  <m:t>=</m:t>
                </m:r>
                <m:nary>
                  <m:naryPr>
                    <m:chr m:val="∑"/>
                    <m:limLoc m:val="undOvr"/>
                    <m:ctrlPr>
                      <w:rPr>
                        <w:rFonts w:ascii="Cambria Math" w:hAnsi="Cambria Math"/>
                      </w:rPr>
                    </m:ctrlPr>
                  </m:naryPr>
                  <m:sub>
                    <m:r>
                      <w:rPr>
                        <w:rFonts w:ascii="Cambria Math" w:hAnsi="Cambria Math"/>
                      </w:rPr>
                      <m:t>k</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 |G[</m:t>
                </m:r>
                <m:sSub>
                  <m:sSubPr>
                    <m:ctrlPr>
                      <w:rPr>
                        <w:rFonts w:ascii="Cambria Math" w:hAnsi="Cambria Math"/>
                      </w:rPr>
                    </m:ctrlPr>
                  </m:sSubPr>
                  <m:e>
                    <m:r>
                      <w:rPr>
                        <w:rFonts w:ascii="Cambria Math" w:hAnsi="Cambria Math"/>
                      </w:rPr>
                      <m:t>outcome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m:oMathPara>
          </w:p>
        </w:tc>
        <w:tc>
          <w:tcPr>
            <w:tcW w:w="500" w:type="pct"/>
            <w:tcBorders>
              <w:top w:val="nil"/>
              <w:left w:val="nil"/>
              <w:bottom w:val="nil"/>
              <w:right w:val="nil"/>
            </w:tcBorders>
            <w:vAlign w:val="center"/>
          </w:tcPr>
          <w:p w14:paraId="29FEEE67" w14:textId="77777777" w:rsidR="00DC087A" w:rsidRDefault="00000000">
            <w:pPr>
              <w:spacing w:before="40" w:after="40"/>
              <w:jc w:val="right"/>
              <w:rPr>
                <w:rFonts w:hint="eastAsia"/>
              </w:rPr>
            </w:pPr>
            <w:r>
              <w:rPr>
                <w:rFonts w:ascii="Times New Roman" w:hAnsi="Times New Roman" w:cs="Times New Roman"/>
                <w:sz w:val="20"/>
                <w:szCs w:val="20"/>
              </w:rPr>
              <w:t>(4-1)</w:t>
            </w:r>
          </w:p>
        </w:tc>
      </w:tr>
    </w:tbl>
    <w:p w14:paraId="0C86C7CA" w14:textId="77777777" w:rsidR="00AA377E" w:rsidRDefault="00AA377E" w:rsidP="00AA377E">
      <w:pPr>
        <w:spacing w:line="360" w:lineRule="auto"/>
        <w:ind w:firstLine="480"/>
        <w:rPr>
          <w:rFonts w:ascii="Times New Roman" w:hAnsi="Times New Roman" w:cs="Times New Roman"/>
        </w:rPr>
      </w:pPr>
      <w:r w:rsidRPr="00AA377E">
        <w:rPr>
          <w:rFonts w:ascii="Times New Roman" w:hAnsi="Times New Roman" w:cs="Times New Roman"/>
        </w:rPr>
        <w:t>对每一个临床结局，蛋白质和代谢物分别独立排序，形成</w:t>
      </w:r>
      <w:r w:rsidRPr="00AA377E">
        <w:rPr>
          <w:rFonts w:ascii="Times New Roman" w:hAnsi="Times New Roman" w:cs="Times New Roman"/>
        </w:rPr>
        <w:t xml:space="preserve"> outcome-specific </w:t>
      </w:r>
      <w:r w:rsidRPr="00AA377E">
        <w:rPr>
          <w:rFonts w:ascii="Times New Roman" w:hAnsi="Times New Roman" w:cs="Times New Roman"/>
        </w:rPr>
        <w:t>直接效应候选清单。例如，对于</w:t>
      </w:r>
      <w:r w:rsidRPr="00AA377E">
        <w:rPr>
          <w:rFonts w:ascii="Times New Roman" w:hAnsi="Times New Roman" w:cs="Times New Roman"/>
        </w:rPr>
        <w:t xml:space="preserve"> AST</w:t>
      </w:r>
      <w:r w:rsidRPr="00AA377E">
        <w:rPr>
          <w:rFonts w:ascii="Times New Roman" w:hAnsi="Times New Roman" w:cs="Times New Roman"/>
        </w:rPr>
        <w:t>、</w:t>
      </w:r>
      <w:r w:rsidRPr="00AA377E">
        <w:rPr>
          <w:rFonts w:ascii="Times New Roman" w:hAnsi="Times New Roman" w:cs="Times New Roman"/>
        </w:rPr>
        <w:t>GGT</w:t>
      </w:r>
      <w:r w:rsidRPr="00AA377E">
        <w:rPr>
          <w:rFonts w:ascii="Times New Roman" w:hAnsi="Times New Roman" w:cs="Times New Roman"/>
        </w:rPr>
        <w:t>、</w:t>
      </w:r>
      <w:r w:rsidRPr="00AA377E">
        <w:rPr>
          <w:rFonts w:ascii="Times New Roman" w:hAnsi="Times New Roman" w:cs="Times New Roman"/>
        </w:rPr>
        <w:t>CRP</w:t>
      </w:r>
      <w:r w:rsidRPr="00AA377E">
        <w:rPr>
          <w:rFonts w:ascii="Times New Roman" w:hAnsi="Times New Roman" w:cs="Times New Roman"/>
        </w:rPr>
        <w:t>、</w:t>
      </w:r>
      <w:r w:rsidRPr="00AA377E">
        <w:rPr>
          <w:rFonts w:ascii="Times New Roman" w:hAnsi="Times New Roman" w:cs="Times New Roman"/>
        </w:rPr>
        <w:t>TBil</w:t>
      </w:r>
      <w:r w:rsidRPr="00AA377E">
        <w:rPr>
          <w:rFonts w:ascii="Times New Roman" w:hAnsi="Times New Roman" w:cs="Times New Roman"/>
        </w:rPr>
        <w:t>、</w:t>
      </w:r>
      <w:r w:rsidRPr="00AA377E">
        <w:rPr>
          <w:rFonts w:ascii="Times New Roman" w:hAnsi="Times New Roman" w:cs="Times New Roman"/>
        </w:rPr>
        <w:t>DBil</w:t>
      </w:r>
      <w:r w:rsidRPr="00AA377E">
        <w:rPr>
          <w:rFonts w:ascii="Times New Roman" w:hAnsi="Times New Roman" w:cs="Times New Roman"/>
        </w:rPr>
        <w:t>、</w:t>
      </w:r>
      <w:r w:rsidRPr="00AA377E">
        <w:rPr>
          <w:rFonts w:ascii="Times New Roman" w:hAnsi="Times New Roman" w:cs="Times New Roman"/>
        </w:rPr>
        <w:t>Albumin</w:t>
      </w:r>
      <w:r w:rsidRPr="00AA377E">
        <w:rPr>
          <w:rFonts w:ascii="Times New Roman" w:hAnsi="Times New Roman" w:cs="Times New Roman"/>
        </w:rPr>
        <w:t>、</w:t>
      </w:r>
      <w:r w:rsidRPr="00AA377E">
        <w:rPr>
          <w:rFonts w:ascii="Times New Roman" w:hAnsi="Times New Roman" w:cs="Times New Roman"/>
        </w:rPr>
        <w:t>Creatinine</w:t>
      </w:r>
      <w:r w:rsidRPr="00AA377E">
        <w:rPr>
          <w:rFonts w:ascii="Times New Roman" w:hAnsi="Times New Roman" w:cs="Times New Roman"/>
        </w:rPr>
        <w:t>、</w:t>
      </w:r>
      <w:r w:rsidRPr="00AA377E">
        <w:rPr>
          <w:rFonts w:ascii="Times New Roman" w:hAnsi="Times New Roman" w:cs="Times New Roman"/>
        </w:rPr>
        <w:t xml:space="preserve">PLT </w:t>
      </w:r>
      <w:r w:rsidRPr="00AA377E">
        <w:rPr>
          <w:rFonts w:ascii="Times New Roman" w:hAnsi="Times New Roman" w:cs="Times New Roman"/>
        </w:rPr>
        <w:t>及</w:t>
      </w:r>
      <w:r w:rsidRPr="00AA377E">
        <w:rPr>
          <w:rFonts w:ascii="Times New Roman" w:hAnsi="Times New Roman" w:cs="Times New Roman"/>
        </w:rPr>
        <w:t xml:space="preserve"> hepatic failure subtype </w:t>
      </w:r>
      <w:r w:rsidRPr="00AA377E">
        <w:rPr>
          <w:rFonts w:ascii="Times New Roman" w:hAnsi="Times New Roman" w:cs="Times New Roman"/>
        </w:rPr>
        <w:t>等结局，分别识别其高排名</w:t>
      </w:r>
      <w:r w:rsidRPr="00AA377E">
        <w:rPr>
          <w:rFonts w:ascii="Times New Roman" w:hAnsi="Times New Roman" w:cs="Times New Roman"/>
        </w:rPr>
        <w:t xml:space="preserve"> Protein → Outcome </w:t>
      </w:r>
      <w:r w:rsidRPr="00AA377E">
        <w:rPr>
          <w:rFonts w:ascii="Times New Roman" w:hAnsi="Times New Roman" w:cs="Times New Roman"/>
        </w:rPr>
        <w:t>和</w:t>
      </w:r>
      <w:r w:rsidRPr="00AA377E">
        <w:rPr>
          <w:rFonts w:ascii="Times New Roman" w:hAnsi="Times New Roman" w:cs="Times New Roman"/>
        </w:rPr>
        <w:t xml:space="preserve"> Metabolite → Outcome </w:t>
      </w:r>
      <w:r w:rsidRPr="00AA377E">
        <w:rPr>
          <w:rFonts w:ascii="Times New Roman" w:hAnsi="Times New Roman" w:cs="Times New Roman"/>
        </w:rPr>
        <w:t>边。该分析直接回答</w:t>
      </w:r>
      <w:r w:rsidRPr="00AA377E">
        <w:rPr>
          <w:rFonts w:ascii="Times New Roman" w:hAnsi="Times New Roman" w:cs="Times New Roman"/>
        </w:rPr>
        <w:t>“</w:t>
      </w:r>
      <w:r w:rsidRPr="00AA377E">
        <w:rPr>
          <w:rFonts w:ascii="Times New Roman" w:hAnsi="Times New Roman" w:cs="Times New Roman"/>
        </w:rPr>
        <w:t>对于某一临床结局，哪些分子在模型结构中具有较强上游投影效应</w:t>
      </w:r>
      <w:r w:rsidRPr="00AA377E">
        <w:rPr>
          <w:rFonts w:ascii="Times New Roman" w:hAnsi="Times New Roman" w:cs="Times New Roman"/>
        </w:rPr>
        <w:t>”</w:t>
      </w:r>
      <w:r w:rsidRPr="00AA377E">
        <w:rPr>
          <w:rFonts w:ascii="Times New Roman" w:hAnsi="Times New Roman" w:cs="Times New Roman"/>
        </w:rPr>
        <w:t>这一问题，避免将具有不同病理意义的多个临床结局预先合并为单一总体评分。</w:t>
      </w:r>
    </w:p>
    <w:p w14:paraId="523E5163" w14:textId="3BC51922" w:rsidR="00AA377E" w:rsidRDefault="00AA377E" w:rsidP="00AA377E">
      <w:pPr>
        <w:spacing w:line="360" w:lineRule="auto"/>
        <w:ind w:firstLine="480"/>
        <w:rPr>
          <w:rFonts w:ascii="Times New Roman" w:hAnsi="Times New Roman" w:cs="Times New Roman"/>
        </w:rPr>
      </w:pPr>
      <w:r w:rsidRPr="00AA377E">
        <w:rPr>
          <w:rFonts w:ascii="Times New Roman" w:hAnsi="Times New Roman" w:cs="Times New Roman"/>
        </w:rPr>
        <w:t>本阶段最终形成两类结果。第一类为每个临床结局对应的</w:t>
      </w:r>
      <w:r w:rsidRPr="00AA377E">
        <w:rPr>
          <w:rFonts w:ascii="Times New Roman" w:hAnsi="Times New Roman" w:cs="Times New Roman"/>
        </w:rPr>
        <w:t xml:space="preserve"> Protein </w:t>
      </w:r>
      <w:r w:rsidRPr="00AA377E">
        <w:rPr>
          <w:rFonts w:ascii="Times New Roman" w:hAnsi="Times New Roman" w:cs="Times New Roman"/>
        </w:rPr>
        <w:t>和</w:t>
      </w:r>
      <w:r w:rsidRPr="00AA377E">
        <w:rPr>
          <w:rFonts w:ascii="Times New Roman" w:hAnsi="Times New Roman" w:cs="Times New Roman"/>
        </w:rPr>
        <w:t xml:space="preserve"> Metabolite </w:t>
      </w:r>
      <w:r w:rsidRPr="00AA377E">
        <w:rPr>
          <w:rFonts w:ascii="Times New Roman" w:hAnsi="Times New Roman" w:cs="Times New Roman"/>
        </w:rPr>
        <w:t>直接效应排名，用于识别具体结局的高优先级上游候选分子；第二类为跨</w:t>
      </w:r>
      <w:r w:rsidRPr="00AA377E">
        <w:rPr>
          <w:rFonts w:ascii="Times New Roman" w:hAnsi="Times New Roman" w:cs="Times New Roman"/>
        </w:rPr>
        <w:t xml:space="preserve"> Outcome </w:t>
      </w:r>
      <w:r w:rsidRPr="00AA377E">
        <w:rPr>
          <w:rFonts w:ascii="Times New Roman" w:hAnsi="Times New Roman" w:cs="Times New Roman"/>
        </w:rPr>
        <w:t>的辅助汇总结果，用于识别可能同时涉及多个</w:t>
      </w:r>
      <w:r w:rsidRPr="00AA377E">
        <w:rPr>
          <w:rFonts w:ascii="Times New Roman" w:hAnsi="Times New Roman" w:cs="Times New Roman"/>
        </w:rPr>
        <w:t xml:space="preserve"> ACLF </w:t>
      </w:r>
      <w:r w:rsidRPr="00AA377E">
        <w:rPr>
          <w:rFonts w:ascii="Times New Roman" w:hAnsi="Times New Roman" w:cs="Times New Roman"/>
        </w:rPr>
        <w:t>病理表型的广泛作用候选。所有候选均保留原始边权、效应方向、</w:t>
      </w:r>
      <w:r w:rsidRPr="00AA377E">
        <w:rPr>
          <w:rFonts w:ascii="Times New Roman" w:hAnsi="Times New Roman" w:cs="Times New Roman"/>
        </w:rPr>
        <w:t xml:space="preserve">Outcome </w:t>
      </w:r>
      <w:r w:rsidRPr="00AA377E">
        <w:rPr>
          <w:rFonts w:ascii="Times New Roman" w:hAnsi="Times New Roman" w:cs="Times New Roman"/>
        </w:rPr>
        <w:t>内排名及跨模型复现信息，为后续间接路径分析、虚拟扰动分析和综合证据评价提供基础。</w:t>
      </w:r>
    </w:p>
    <w:p w14:paraId="14DC6933" w14:textId="61EA15F6" w:rsidR="00DC087A" w:rsidRDefault="00000000" w:rsidP="00AA377E">
      <w:pPr>
        <w:pStyle w:val="2"/>
        <w:rPr>
          <w:rFonts w:hint="eastAsia"/>
        </w:rPr>
      </w:pPr>
      <w:r w:rsidRPr="00AA377E">
        <w:t>4.3 总效应估计</w:t>
      </w:r>
    </w:p>
    <w:p w14:paraId="15142399" w14:textId="77777777" w:rsidR="00DC087A" w:rsidRDefault="00000000">
      <w:pPr>
        <w:spacing w:line="360" w:lineRule="auto"/>
        <w:ind w:firstLine="480"/>
        <w:rPr>
          <w:rFonts w:hint="eastAsia"/>
        </w:rPr>
      </w:pPr>
      <w:r>
        <w:rPr>
          <w:rFonts w:ascii="Times New Roman" w:hAnsi="Times New Roman" w:cs="Times New Roman"/>
        </w:rPr>
        <w:t>直接边权仅反映一阶结构投影，无法覆盖跨组学的间接传播效应。例如，某个蛋白质可能并不直接指向</w:t>
      </w:r>
      <w:r>
        <w:rPr>
          <w:rFonts w:ascii="Times New Roman" w:hAnsi="Times New Roman" w:cs="Times New Roman"/>
        </w:rPr>
        <w:t xml:space="preserve"> Outcome</w:t>
      </w:r>
      <w:r>
        <w:rPr>
          <w:rFonts w:ascii="Times New Roman" w:hAnsi="Times New Roman" w:cs="Times New Roman"/>
        </w:rPr>
        <w:t>，但它通过调控某个代谢物间接影响临床结局。这类间接驱动分子恰恰可能是更上游、更具治疗价值的靶点。</w:t>
      </w:r>
    </w:p>
    <w:p w14:paraId="7DEEB121" w14:textId="77777777" w:rsidR="00DC087A" w:rsidRDefault="00000000">
      <w:pPr>
        <w:spacing w:line="360" w:lineRule="auto"/>
        <w:rPr>
          <w:rFonts w:hint="eastAsia"/>
        </w:rPr>
      </w:pPr>
      <w:r>
        <w:rPr>
          <w:rFonts w:ascii="Times New Roman" w:hAnsi="Times New Roman" w:cs="Times New Roman"/>
        </w:rPr>
        <w:t>在特征层线性近似成立且矩阵数值稳定的条件下，对稀疏化后的特征层因果矩阵</w:t>
      </w:r>
      <w:r>
        <w:rPr>
          <w:rFonts w:ascii="Times New Roman" w:hAnsi="Times New Roman" w:cs="Times New Roman"/>
        </w:rPr>
        <w:t xml:space="preserve"> G_sparse </w:t>
      </w:r>
      <w:r>
        <w:rPr>
          <w:rFonts w:ascii="Times New Roman" w:hAnsi="Times New Roman" w:cs="Times New Roman"/>
        </w:rPr>
        <w:t>计算总因果效应矩阵：</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577D200A" w14:textId="77777777">
        <w:tc>
          <w:tcPr>
            <w:tcW w:w="500" w:type="pct"/>
            <w:tcBorders>
              <w:top w:val="nil"/>
              <w:left w:val="nil"/>
              <w:bottom w:val="nil"/>
              <w:right w:val="nil"/>
            </w:tcBorders>
          </w:tcPr>
          <w:p w14:paraId="485E3738" w14:textId="77777777" w:rsidR="00DC087A" w:rsidRDefault="00DC087A">
            <w:pPr>
              <w:rPr>
                <w:rFonts w:hint="eastAsia"/>
              </w:rPr>
            </w:pPr>
          </w:p>
        </w:tc>
        <w:tc>
          <w:tcPr>
            <w:tcW w:w="4000" w:type="pct"/>
            <w:tcBorders>
              <w:top w:val="nil"/>
              <w:left w:val="nil"/>
              <w:bottom w:val="nil"/>
              <w:right w:val="nil"/>
            </w:tcBorders>
            <w:vAlign w:val="center"/>
          </w:tcPr>
          <w:p w14:paraId="68AB1A89" w14:textId="3EF06930" w:rsidR="00DC087A" w:rsidRDefault="00000000">
            <w:pPr>
              <w:spacing w:before="40" w:after="40"/>
              <w:jc w:val="center"/>
              <w:rPr>
                <w:rFonts w:hint="eastAsia"/>
              </w:rPr>
            </w:pPr>
            <m:oMathPara>
              <m:oMath>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I-</m:t>
                        </m:r>
                        <m:sSup>
                          <m:sSupPr>
                            <m:ctrlPr>
                              <w:rPr>
                                <w:rFonts w:ascii="Cambria Math" w:hAnsi="Cambria Math"/>
                              </w:rPr>
                            </m:ctrlPr>
                          </m:sSupPr>
                          <m:e>
                            <m:r>
                              <w:rPr>
                                <w:rFonts w:ascii="Cambria Math" w:hAnsi="Cambria Math"/>
                              </w:rPr>
                              <m:t>G</m:t>
                            </m:r>
                          </m:e>
                          <m:sup>
                            <m:r>
                              <w:rPr>
                                <w:rFonts w:ascii="Cambria Math" w:hAnsi="Cambria Math"/>
                              </w:rPr>
                              <m:t>T</m:t>
                            </m:r>
                          </m:sup>
                        </m:sSup>
                      </m:e>
                    </m:d>
                  </m:e>
                  <m:sup>
                    <m:r>
                      <w:rPr>
                        <w:rFonts w:ascii="Cambria Math" w:hAnsi="Cambria Math"/>
                      </w:rPr>
                      <m:t>-1</m:t>
                    </m:r>
                  </m:sup>
                </m:sSup>
                <m:r>
                  <w:rPr>
                    <w:rFonts w:ascii="Cambria Math" w:hAnsi="Cambria Math"/>
                  </w:rPr>
                  <m:t>- I</m:t>
                </m:r>
              </m:oMath>
            </m:oMathPara>
          </w:p>
        </w:tc>
        <w:tc>
          <w:tcPr>
            <w:tcW w:w="500" w:type="pct"/>
            <w:tcBorders>
              <w:top w:val="nil"/>
              <w:left w:val="nil"/>
              <w:bottom w:val="nil"/>
              <w:right w:val="nil"/>
            </w:tcBorders>
            <w:vAlign w:val="center"/>
          </w:tcPr>
          <w:p w14:paraId="0CABAC81" w14:textId="77777777" w:rsidR="00DC087A" w:rsidRDefault="00000000">
            <w:pPr>
              <w:spacing w:before="40" w:after="40"/>
              <w:jc w:val="right"/>
              <w:rPr>
                <w:rFonts w:hint="eastAsia"/>
              </w:rPr>
            </w:pPr>
            <w:r>
              <w:rPr>
                <w:rFonts w:ascii="Times New Roman" w:hAnsi="Times New Roman" w:cs="Times New Roman"/>
                <w:sz w:val="20"/>
                <w:szCs w:val="20"/>
              </w:rPr>
              <w:t>(4-2)</w:t>
            </w:r>
          </w:p>
        </w:tc>
      </w:tr>
    </w:tbl>
    <w:p w14:paraId="5F4CC9AF" w14:textId="77777777" w:rsidR="00DC087A" w:rsidRDefault="00000000">
      <w:pPr>
        <w:spacing w:line="360" w:lineRule="auto"/>
        <w:ind w:firstLine="480"/>
        <w:rPr>
          <w:rFonts w:hint="eastAsia"/>
        </w:rPr>
      </w:pPr>
      <w:r>
        <w:rPr>
          <w:rFonts w:ascii="Times New Roman" w:hAnsi="Times New Roman" w:cs="Times New Roman"/>
        </w:rPr>
        <w:t xml:space="preserve">C[outcome_k, X_j] </w:t>
      </w:r>
      <w:r>
        <w:rPr>
          <w:rFonts w:ascii="Times New Roman" w:hAnsi="Times New Roman" w:cs="Times New Roman"/>
        </w:rPr>
        <w:t>表示候选分子</w:t>
      </w:r>
      <w:r>
        <w:rPr>
          <w:rFonts w:ascii="Times New Roman" w:hAnsi="Times New Roman" w:cs="Times New Roman"/>
        </w:rPr>
        <w:t xml:space="preserve"> X_j </w:t>
      </w:r>
      <w:r>
        <w:rPr>
          <w:rFonts w:ascii="Times New Roman" w:hAnsi="Times New Roman" w:cs="Times New Roman"/>
        </w:rPr>
        <w:t>对临床结局</w:t>
      </w:r>
      <w:r>
        <w:rPr>
          <w:rFonts w:ascii="Times New Roman" w:hAnsi="Times New Roman" w:cs="Times New Roman"/>
        </w:rPr>
        <w:t xml:space="preserve"> outcome_k </w:t>
      </w:r>
      <w:r>
        <w:rPr>
          <w:rFonts w:ascii="Times New Roman" w:hAnsi="Times New Roman" w:cs="Times New Roman"/>
        </w:rPr>
        <w:t>的总结构因果</w:t>
      </w:r>
      <w:r>
        <w:rPr>
          <w:rFonts w:ascii="Times New Roman" w:hAnsi="Times New Roman" w:cs="Times New Roman"/>
        </w:rPr>
        <w:lastRenderedPageBreak/>
        <w:t>效应，包含所有直接路径与间接路径的累积传导。</w:t>
      </w:r>
    </w:p>
    <w:p w14:paraId="4AE95ABB" w14:textId="77777777" w:rsidR="00DC087A" w:rsidRDefault="00000000">
      <w:pPr>
        <w:spacing w:line="360" w:lineRule="auto"/>
        <w:rPr>
          <w:rFonts w:hint="eastAsia"/>
        </w:rPr>
      </w:pPr>
      <w:r>
        <w:rPr>
          <w:rFonts w:ascii="Times New Roman" w:hAnsi="Times New Roman" w:cs="Times New Roman"/>
        </w:rPr>
        <w:t>数值稳定性保障：该步骤必须执行严格的数值检查。若</w:t>
      </w:r>
      <w:r>
        <w:rPr>
          <w:rFonts w:ascii="Times New Roman" w:hAnsi="Times New Roman" w:cs="Times New Roman"/>
        </w:rPr>
        <w:t xml:space="preserve"> G_sparse </w:t>
      </w:r>
      <w:r>
        <w:rPr>
          <w:rFonts w:ascii="Times New Roman" w:hAnsi="Times New Roman" w:cs="Times New Roman"/>
        </w:rPr>
        <w:t>的谱半径接近或超过</w:t>
      </w:r>
      <w:r>
        <w:rPr>
          <w:rFonts w:ascii="Times New Roman" w:hAnsi="Times New Roman" w:cs="Times New Roman"/>
        </w:rPr>
        <w:t xml:space="preserve"> 1</w:t>
      </w:r>
      <w:r>
        <w:rPr>
          <w:rFonts w:ascii="Times New Roman" w:hAnsi="Times New Roman" w:cs="Times New Roman"/>
        </w:rPr>
        <w:t>、条件数过高、或求逆结果出现异常放大，则放弃全局矩阵求逆，改用有限阶路径展开作为稳健替代：</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5A46C826" w14:textId="77777777">
        <w:tc>
          <w:tcPr>
            <w:tcW w:w="500" w:type="pct"/>
            <w:tcBorders>
              <w:top w:val="nil"/>
              <w:left w:val="nil"/>
              <w:bottom w:val="nil"/>
              <w:right w:val="nil"/>
            </w:tcBorders>
          </w:tcPr>
          <w:p w14:paraId="5B730F8C" w14:textId="77777777" w:rsidR="00DC087A" w:rsidRDefault="00DC087A">
            <w:pPr>
              <w:rPr>
                <w:rFonts w:hint="eastAsia"/>
              </w:rPr>
            </w:pPr>
          </w:p>
        </w:tc>
        <w:tc>
          <w:tcPr>
            <w:tcW w:w="4000" w:type="pct"/>
            <w:tcBorders>
              <w:top w:val="nil"/>
              <w:left w:val="nil"/>
              <w:bottom w:val="nil"/>
              <w:right w:val="nil"/>
            </w:tcBorders>
            <w:vAlign w:val="center"/>
          </w:tcPr>
          <w:p w14:paraId="35144406" w14:textId="5BC439BF" w:rsidR="00DC087A" w:rsidRDefault="00000000">
            <w:pPr>
              <w:spacing w:before="40" w:after="40"/>
              <w:jc w:val="cente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sup>
                </m:sSup>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T</m:t>
                            </m:r>
                          </m:sup>
                        </m:sSup>
                      </m:e>
                    </m:d>
                  </m:e>
                  <m:sup>
                    <m:r>
                      <w:rPr>
                        <w:rFonts w:ascii="Cambria Math" w:hAnsi="Cambria Math"/>
                      </w:rPr>
                      <m:t>2</m:t>
                    </m:r>
                  </m:sup>
                </m:sSup>
                <m:r>
                  <w:rPr>
                    <w:rFonts w:ascii="Cambria Math" w:hAnsi="Cambria Math"/>
                  </w:rPr>
                  <m:t>+ ⋯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T</m:t>
                            </m:r>
                          </m:sup>
                        </m:sSup>
                      </m:e>
                    </m:d>
                  </m:e>
                  <m:sup>
                    <m:r>
                      <w:rPr>
                        <w:rFonts w:ascii="Cambria Math" w:hAnsi="Cambria Math"/>
                      </w:rPr>
                      <m:t>L</m:t>
                    </m:r>
                  </m:sup>
                </m:sSup>
              </m:oMath>
            </m:oMathPara>
          </w:p>
        </w:tc>
        <w:tc>
          <w:tcPr>
            <w:tcW w:w="500" w:type="pct"/>
            <w:tcBorders>
              <w:top w:val="nil"/>
              <w:left w:val="nil"/>
              <w:bottom w:val="nil"/>
              <w:right w:val="nil"/>
            </w:tcBorders>
            <w:vAlign w:val="center"/>
          </w:tcPr>
          <w:p w14:paraId="3E5E3EE1" w14:textId="77777777" w:rsidR="00DC087A" w:rsidRDefault="00000000">
            <w:pPr>
              <w:spacing w:before="40" w:after="40"/>
              <w:jc w:val="right"/>
              <w:rPr>
                <w:rFonts w:hint="eastAsia"/>
              </w:rPr>
            </w:pPr>
            <w:r>
              <w:rPr>
                <w:rFonts w:ascii="Times New Roman" w:hAnsi="Times New Roman" w:cs="Times New Roman"/>
                <w:sz w:val="20"/>
                <w:szCs w:val="20"/>
              </w:rPr>
              <w:t>(4-3)</w:t>
            </w:r>
          </w:p>
        </w:tc>
      </w:tr>
    </w:tbl>
    <w:p w14:paraId="63E8790A" w14:textId="77777777" w:rsidR="00DC087A" w:rsidRDefault="00000000">
      <w:pPr>
        <w:spacing w:line="360" w:lineRule="auto"/>
        <w:rPr>
          <w:rFonts w:hint="eastAsia"/>
        </w:rPr>
      </w:pPr>
      <w:r>
        <w:rPr>
          <w:rFonts w:ascii="Times New Roman" w:hAnsi="Times New Roman" w:cs="Times New Roman"/>
        </w:rPr>
        <w:t>其中</w:t>
      </w:r>
      <w:r>
        <w:rPr>
          <w:rFonts w:ascii="Times New Roman" w:hAnsi="Times New Roman" w:cs="Times New Roman"/>
        </w:rPr>
        <w:t xml:space="preserve"> L </w:t>
      </w:r>
      <w:r>
        <w:rPr>
          <w:rFonts w:ascii="Times New Roman" w:hAnsi="Times New Roman" w:cs="Times New Roman"/>
        </w:rPr>
        <w:t>通常取</w:t>
      </w:r>
      <w:r>
        <w:rPr>
          <w:rFonts w:ascii="Times New Roman" w:hAnsi="Times New Roman" w:cs="Times New Roman"/>
        </w:rPr>
        <w:t xml:space="preserve"> 2 </w:t>
      </w:r>
      <w:r>
        <w:rPr>
          <w:rFonts w:ascii="Times New Roman" w:hAnsi="Times New Roman" w:cs="Times New Roman"/>
        </w:rPr>
        <w:t>或</w:t>
      </w:r>
      <w:r>
        <w:rPr>
          <w:rFonts w:ascii="Times New Roman" w:hAnsi="Times New Roman" w:cs="Times New Roman"/>
        </w:rPr>
        <w:t xml:space="preserve"> 3</w:t>
      </w:r>
      <w:r>
        <w:rPr>
          <w:rFonts w:ascii="Times New Roman" w:hAnsi="Times New Roman" w:cs="Times New Roman"/>
        </w:rPr>
        <w:t>，保留主要短路径传播效应，同时规避长路径的噪声累积风险。总效应评分定义为：</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082E2501" w14:textId="77777777">
        <w:tc>
          <w:tcPr>
            <w:tcW w:w="500" w:type="pct"/>
            <w:tcBorders>
              <w:top w:val="nil"/>
              <w:left w:val="nil"/>
              <w:bottom w:val="nil"/>
              <w:right w:val="nil"/>
            </w:tcBorders>
          </w:tcPr>
          <w:p w14:paraId="37D2E7C5" w14:textId="77777777" w:rsidR="00DC087A" w:rsidRDefault="00DC087A">
            <w:pPr>
              <w:rPr>
                <w:rFonts w:hint="eastAsia"/>
              </w:rPr>
            </w:pPr>
          </w:p>
        </w:tc>
        <w:tc>
          <w:tcPr>
            <w:tcW w:w="4000" w:type="pct"/>
            <w:tcBorders>
              <w:top w:val="nil"/>
              <w:left w:val="nil"/>
              <w:bottom w:val="nil"/>
              <w:right w:val="nil"/>
            </w:tcBorders>
            <w:vAlign w:val="center"/>
          </w:tcPr>
          <w:p w14:paraId="126F0620" w14:textId="404D82C1" w:rsidR="00DC087A" w:rsidRDefault="00000000">
            <w:pPr>
              <w:spacing w:before="40" w:after="40"/>
              <w:jc w:val="center"/>
              <w:rPr>
                <w:rFonts w:hint="eastAsia"/>
              </w:rPr>
            </w:pPr>
            <m:oMathPara>
              <m:oMath>
                <m:sSub>
                  <m:sSubPr>
                    <m:ctrlPr>
                      <w:rPr>
                        <w:rFonts w:ascii="Cambria Math" w:hAnsi="Cambria Math"/>
                      </w:rPr>
                    </m:ctrlPr>
                  </m:sSubPr>
                  <m:e>
                    <m:r>
                      <w:rPr>
                        <w:rFonts w:ascii="Cambria Math" w:hAnsi="Cambria Math"/>
                      </w:rPr>
                      <m:t>TotalScore</m:t>
                    </m:r>
                  </m:e>
                  <m:sub>
                    <m:r>
                      <w:rPr>
                        <w:rFonts w:ascii="Cambria Math" w:hAnsi="Cambria Math"/>
                      </w:rPr>
                      <m:t>j</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 |C[</m:t>
                </m:r>
                <m:sSub>
                  <m:sSubPr>
                    <m:ctrlPr>
                      <w:rPr>
                        <w:rFonts w:ascii="Cambria Math" w:hAnsi="Cambria Math"/>
                      </w:rPr>
                    </m:ctrlPr>
                  </m:sSubPr>
                  <m:e>
                    <m:r>
                      <w:rPr>
                        <w:rFonts w:ascii="Cambria Math" w:hAnsi="Cambria Math"/>
                      </w:rPr>
                      <m:t>outcome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m:oMathPara>
          </w:p>
        </w:tc>
        <w:tc>
          <w:tcPr>
            <w:tcW w:w="500" w:type="pct"/>
            <w:tcBorders>
              <w:top w:val="nil"/>
              <w:left w:val="nil"/>
              <w:bottom w:val="nil"/>
              <w:right w:val="nil"/>
            </w:tcBorders>
            <w:vAlign w:val="center"/>
          </w:tcPr>
          <w:p w14:paraId="24106AB3" w14:textId="77777777" w:rsidR="00DC087A" w:rsidRDefault="00000000">
            <w:pPr>
              <w:spacing w:before="40" w:after="40"/>
              <w:jc w:val="right"/>
              <w:rPr>
                <w:rFonts w:hint="eastAsia"/>
              </w:rPr>
            </w:pPr>
            <w:r>
              <w:rPr>
                <w:rFonts w:ascii="Times New Roman" w:hAnsi="Times New Roman" w:cs="Times New Roman"/>
                <w:sz w:val="20"/>
                <w:szCs w:val="20"/>
              </w:rPr>
              <w:t>(4-4)</w:t>
            </w:r>
          </w:p>
        </w:tc>
      </w:tr>
    </w:tbl>
    <w:p w14:paraId="4419D7F8" w14:textId="77777777" w:rsidR="00DC087A" w:rsidRDefault="00000000">
      <w:pPr>
        <w:spacing w:line="360" w:lineRule="auto"/>
        <w:ind w:firstLine="480"/>
        <w:rPr>
          <w:rFonts w:hint="eastAsia"/>
        </w:rPr>
      </w:pPr>
      <w:r>
        <w:rPr>
          <w:rFonts w:ascii="Times New Roman" w:hAnsi="Times New Roman" w:cs="Times New Roman"/>
        </w:rPr>
        <w:t>直接效应排名与总效应排名应同时输出、对照分析。直接效应更为保守可靠，总效应则更适合发现跨组学传播链路中隐藏的上游候选分子。</w:t>
      </w:r>
    </w:p>
    <w:p w14:paraId="19A1E2C9" w14:textId="77777777" w:rsidR="00DC087A" w:rsidRDefault="00000000">
      <w:pPr>
        <w:pStyle w:val="2"/>
        <w:rPr>
          <w:rFonts w:hint="eastAsia"/>
        </w:rPr>
      </w:pPr>
      <w:r>
        <w:t>4.4 虚拟扰动与患者级反事实响应</w:t>
      </w:r>
    </w:p>
    <w:p w14:paraId="5CEC0205" w14:textId="77777777" w:rsidR="00DC087A" w:rsidRDefault="00000000">
      <w:pPr>
        <w:spacing w:line="360" w:lineRule="auto"/>
        <w:ind w:firstLine="480"/>
        <w:rPr>
          <w:rFonts w:hint="eastAsia"/>
        </w:rPr>
      </w:pPr>
      <w:r>
        <w:rPr>
          <w:rFonts w:ascii="Times New Roman" w:hAnsi="Times New Roman" w:cs="Times New Roman"/>
        </w:rPr>
        <w:t>对综合排名靠前的</w:t>
      </w:r>
      <w:r>
        <w:rPr>
          <w:rFonts w:ascii="Times New Roman" w:hAnsi="Times New Roman" w:cs="Times New Roman"/>
        </w:rPr>
        <w:t xml:space="preserve"> Top-K </w:t>
      </w:r>
      <w:r>
        <w:rPr>
          <w:rFonts w:ascii="Times New Roman" w:hAnsi="Times New Roman" w:cs="Times New Roman"/>
        </w:rPr>
        <w:t>候选分子，进一步执行患者级虚拟扰动分析，以评估候选分子在模型框架内对临床结局的响应方向和幅度分布。具体流程如下：</w:t>
      </w:r>
    </w:p>
    <w:p w14:paraId="3C293F31" w14:textId="77777777" w:rsidR="00DC087A" w:rsidRDefault="00000000">
      <w:pPr>
        <w:spacing w:line="360" w:lineRule="auto"/>
        <w:rPr>
          <w:rFonts w:hint="eastAsia"/>
        </w:rPr>
      </w:pPr>
      <w:r>
        <w:rPr>
          <w:rFonts w:ascii="Times New Roman" w:hAnsi="Times New Roman" w:cs="Times New Roman"/>
        </w:rPr>
        <w:t xml:space="preserve">1. </w:t>
      </w:r>
      <w:r>
        <w:rPr>
          <w:rFonts w:ascii="Times New Roman" w:hAnsi="Times New Roman" w:cs="Times New Roman"/>
        </w:rPr>
        <w:t>冻结模型：固定训练完成的全部模型参数，切换至推理模式（</w:t>
      </w:r>
      <w:r>
        <w:rPr>
          <w:rFonts w:ascii="Times New Roman" w:hAnsi="Times New Roman" w:cs="Times New Roman"/>
        </w:rPr>
        <w:t>model.eval()</w:t>
      </w:r>
      <w:r>
        <w:rPr>
          <w:rFonts w:ascii="Times New Roman" w:hAnsi="Times New Roman" w:cs="Times New Roman"/>
        </w:rPr>
        <w:t>）。</w:t>
      </w:r>
    </w:p>
    <w:p w14:paraId="4142055F" w14:textId="77777777" w:rsidR="00DC087A" w:rsidRDefault="00000000">
      <w:pPr>
        <w:spacing w:line="360" w:lineRule="auto"/>
        <w:rPr>
          <w:rFonts w:hint="eastAsia"/>
        </w:rPr>
      </w:pPr>
      <w:r>
        <w:rPr>
          <w:rFonts w:ascii="Times New Roman" w:hAnsi="Times New Roman" w:cs="Times New Roman"/>
        </w:rPr>
        <w:t xml:space="preserve">2. </w:t>
      </w:r>
      <w:r>
        <w:rPr>
          <w:rFonts w:ascii="Times New Roman" w:hAnsi="Times New Roman" w:cs="Times New Roman"/>
        </w:rPr>
        <w:t>基线推断：将每位患者的原始多组学数据输入模型，记录其基线</w:t>
      </w:r>
      <w:r>
        <w:rPr>
          <w:rFonts w:ascii="Times New Roman" w:hAnsi="Times New Roman" w:cs="Times New Roman"/>
        </w:rPr>
        <w:t xml:space="preserve"> Outcome </w:t>
      </w:r>
      <w:r>
        <w:rPr>
          <w:rFonts w:ascii="Times New Roman" w:hAnsi="Times New Roman" w:cs="Times New Roman"/>
        </w:rPr>
        <w:t>预测值。</w:t>
      </w:r>
    </w:p>
    <w:p w14:paraId="4516D8A9" w14:textId="77777777" w:rsidR="00DC087A" w:rsidRDefault="00000000">
      <w:pPr>
        <w:spacing w:line="360" w:lineRule="auto"/>
        <w:rPr>
          <w:rFonts w:hint="eastAsia"/>
        </w:rPr>
      </w:pPr>
      <w:r>
        <w:rPr>
          <w:rFonts w:ascii="Times New Roman" w:hAnsi="Times New Roman" w:cs="Times New Roman"/>
        </w:rPr>
        <w:t xml:space="preserve">3. </w:t>
      </w:r>
      <w:r>
        <w:rPr>
          <w:rFonts w:ascii="Times New Roman" w:hAnsi="Times New Roman" w:cs="Times New Roman"/>
        </w:rPr>
        <w:t>施加标准化扰动：对候选分子</w:t>
      </w:r>
      <w:r>
        <w:rPr>
          <w:rFonts w:ascii="Times New Roman" w:hAnsi="Times New Roman" w:cs="Times New Roman"/>
        </w:rPr>
        <w:t xml:space="preserve"> X_j </w:t>
      </w:r>
      <w:r>
        <w:rPr>
          <w:rFonts w:ascii="Times New Roman" w:hAnsi="Times New Roman" w:cs="Times New Roman"/>
        </w:rPr>
        <w:t>施加多个梯度的标准化扰动（如</w:t>
      </w:r>
      <w:r>
        <w:rPr>
          <w:rFonts w:ascii="Times New Roman" w:hAnsi="Times New Roman" w:cs="Times New Roman"/>
        </w:rPr>
        <w:t xml:space="preserve"> ±0.5σ</w:t>
      </w:r>
      <w:r>
        <w:rPr>
          <w:rFonts w:ascii="Times New Roman" w:hAnsi="Times New Roman" w:cs="Times New Roman"/>
        </w:rPr>
        <w:t>、</w:t>
      </w:r>
      <w:r>
        <w:rPr>
          <w:rFonts w:ascii="Times New Roman" w:hAnsi="Times New Roman" w:cs="Times New Roman"/>
        </w:rPr>
        <w:t>±1σ</w:t>
      </w:r>
      <w:r>
        <w:rPr>
          <w:rFonts w:ascii="Times New Roman" w:hAnsi="Times New Roman" w:cs="Times New Roman"/>
        </w:rPr>
        <w:t>），其中</w:t>
      </w:r>
      <w:r>
        <w:rPr>
          <w:rFonts w:ascii="Times New Roman" w:hAnsi="Times New Roman" w:cs="Times New Roman"/>
        </w:rPr>
        <w:t xml:space="preserve"> σ </w:t>
      </w:r>
      <w:r>
        <w:rPr>
          <w:rFonts w:ascii="Times New Roman" w:hAnsi="Times New Roman" w:cs="Times New Roman"/>
        </w:rPr>
        <w:t>为该分子在队列中的标准差。</w:t>
      </w:r>
    </w:p>
    <w:p w14:paraId="3B05CEB5" w14:textId="77777777" w:rsidR="00DC087A" w:rsidRDefault="00000000">
      <w:pPr>
        <w:spacing w:line="360" w:lineRule="auto"/>
        <w:rPr>
          <w:rFonts w:hint="eastAsia"/>
        </w:rPr>
      </w:pPr>
      <w:r>
        <w:rPr>
          <w:rFonts w:ascii="Times New Roman" w:hAnsi="Times New Roman" w:cs="Times New Roman"/>
        </w:rPr>
        <w:t xml:space="preserve">4. </w:t>
      </w:r>
      <w:r>
        <w:rPr>
          <w:rFonts w:ascii="Times New Roman" w:hAnsi="Times New Roman" w:cs="Times New Roman"/>
        </w:rPr>
        <w:t>重新推断：将扰动后的特征向量重新输入模型（经编码器重新编码、</w:t>
      </w:r>
      <w:r>
        <w:rPr>
          <w:rFonts w:ascii="Times New Roman" w:hAnsi="Times New Roman" w:cs="Times New Roman"/>
        </w:rPr>
        <w:t xml:space="preserve">SCM </w:t>
      </w:r>
      <w:r>
        <w:rPr>
          <w:rFonts w:ascii="Times New Roman" w:hAnsi="Times New Roman" w:cs="Times New Roman"/>
        </w:rPr>
        <w:t>重新传导、解码器重新输出），得到干预后的</w:t>
      </w:r>
      <w:r>
        <w:rPr>
          <w:rFonts w:ascii="Times New Roman" w:hAnsi="Times New Roman" w:cs="Times New Roman"/>
        </w:rPr>
        <w:t xml:space="preserve"> Outcome </w:t>
      </w:r>
      <w:r>
        <w:rPr>
          <w:rFonts w:ascii="Times New Roman" w:hAnsi="Times New Roman" w:cs="Times New Roman"/>
        </w:rPr>
        <w:t>预测值。</w:t>
      </w:r>
    </w:p>
    <w:p w14:paraId="26A2F207" w14:textId="77777777" w:rsidR="00DC087A" w:rsidRDefault="00000000">
      <w:pPr>
        <w:spacing w:line="360" w:lineRule="auto"/>
        <w:rPr>
          <w:rFonts w:hint="eastAsia"/>
        </w:rPr>
      </w:pPr>
      <w:r>
        <w:rPr>
          <w:rFonts w:ascii="Times New Roman" w:hAnsi="Times New Roman" w:cs="Times New Roman"/>
        </w:rPr>
        <w:t xml:space="preserve">5. </w:t>
      </w:r>
      <w:r>
        <w:rPr>
          <w:rFonts w:ascii="Times New Roman" w:hAnsi="Times New Roman" w:cs="Times New Roman"/>
        </w:rPr>
        <w:t>计算个体反事实效应。</w:t>
      </w:r>
    </w:p>
    <w:p w14:paraId="1F4C9B1E" w14:textId="77777777" w:rsidR="00DC087A" w:rsidRDefault="00000000">
      <w:pPr>
        <w:spacing w:line="360" w:lineRule="auto"/>
        <w:rPr>
          <w:rFonts w:hint="eastAsia"/>
        </w:rPr>
      </w:pPr>
      <w:r>
        <w:rPr>
          <w:rFonts w:ascii="Times New Roman" w:hAnsi="Times New Roman" w:cs="Times New Roman"/>
        </w:rPr>
        <w:t xml:space="preserve">6. </w:t>
      </w:r>
      <w:r>
        <w:rPr>
          <w:rFonts w:ascii="Times New Roman" w:hAnsi="Times New Roman" w:cs="Times New Roman"/>
        </w:rPr>
        <w:t>统计汇总：对全体患者计算</w:t>
      </w:r>
      <w:r>
        <w:rPr>
          <w:rFonts w:ascii="Times New Roman" w:hAnsi="Times New Roman" w:cs="Times New Roman"/>
        </w:rPr>
        <w:t xml:space="preserve"> ΔY </w:t>
      </w:r>
      <w:r>
        <w:rPr>
          <w:rFonts w:ascii="Times New Roman" w:hAnsi="Times New Roman" w:cs="Times New Roman"/>
        </w:rPr>
        <w:t>的均值、标准差及其分布特征。</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3C724C6E" w14:textId="77777777">
        <w:tc>
          <w:tcPr>
            <w:tcW w:w="500" w:type="pct"/>
            <w:tcBorders>
              <w:top w:val="nil"/>
              <w:left w:val="nil"/>
              <w:bottom w:val="nil"/>
              <w:right w:val="nil"/>
            </w:tcBorders>
          </w:tcPr>
          <w:p w14:paraId="62C12307" w14:textId="77777777" w:rsidR="00DC087A" w:rsidRDefault="00DC087A">
            <w:pPr>
              <w:rPr>
                <w:rFonts w:hint="eastAsia"/>
              </w:rPr>
            </w:pPr>
          </w:p>
        </w:tc>
        <w:tc>
          <w:tcPr>
            <w:tcW w:w="4000" w:type="pct"/>
            <w:tcBorders>
              <w:top w:val="nil"/>
              <w:left w:val="nil"/>
              <w:bottom w:val="nil"/>
              <w:right w:val="nil"/>
            </w:tcBorders>
            <w:vAlign w:val="center"/>
          </w:tcPr>
          <w:p w14:paraId="72401B06" w14:textId="0A7248E2" w:rsidR="00DC087A" w:rsidRDefault="00000000">
            <w:pPr>
              <w:spacing w:before="40" w:after="40"/>
              <w:jc w:val="center"/>
              <w:rPr>
                <w:rFonts w:hint="eastAsia"/>
              </w:rPr>
            </w:pPr>
            <m:oMathPara>
              <m:oMath>
                <m:r>
                  <w:rPr>
                    <w:rFonts w:ascii="Cambria Math" w:hAnsi="Cambria Math"/>
                  </w:rPr>
                  <m:t>Δ</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ctrlPr>
                      <w:rPr>
                        <w:rFonts w:ascii="Cambria Math" w:hAnsi="Cambria Math"/>
                      </w:rPr>
                    </m:ctrlPr>
                  </m:sub>
                </m:sSub>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intervened</m:t>
                    </m:r>
                  </m:sub>
                  <m:sup>
                    <m:r>
                      <w:rPr>
                        <w:rFonts w:ascii="Cambria Math" w:hAnsi="Cambria Math"/>
                      </w:rPr>
                      <m:t>(i,j)</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baseline</m:t>
                    </m:r>
                  </m:sub>
                  <m:sup>
                    <m:r>
                      <w:rPr>
                        <w:rFonts w:ascii="Cambria Math" w:hAnsi="Cambria Math"/>
                      </w:rPr>
                      <m:t>(i)</m:t>
                    </m:r>
                  </m:sup>
                </m:sSubSup>
              </m:oMath>
            </m:oMathPara>
          </w:p>
        </w:tc>
        <w:tc>
          <w:tcPr>
            <w:tcW w:w="500" w:type="pct"/>
            <w:tcBorders>
              <w:top w:val="nil"/>
              <w:left w:val="nil"/>
              <w:bottom w:val="nil"/>
              <w:right w:val="nil"/>
            </w:tcBorders>
            <w:vAlign w:val="center"/>
          </w:tcPr>
          <w:p w14:paraId="6789230A" w14:textId="77777777" w:rsidR="00DC087A" w:rsidRDefault="00000000">
            <w:pPr>
              <w:spacing w:before="40" w:after="40"/>
              <w:jc w:val="right"/>
              <w:rPr>
                <w:rFonts w:hint="eastAsia"/>
              </w:rPr>
            </w:pPr>
            <w:r>
              <w:rPr>
                <w:rFonts w:ascii="Times New Roman" w:hAnsi="Times New Roman" w:cs="Times New Roman"/>
                <w:sz w:val="20"/>
                <w:szCs w:val="20"/>
              </w:rPr>
              <w:t>(4-5)</w:t>
            </w:r>
          </w:p>
        </w:tc>
      </w:tr>
    </w:tbl>
    <w:p w14:paraId="555EFE8F" w14:textId="77777777" w:rsidR="00DC087A" w:rsidRDefault="00000000">
      <w:pPr>
        <w:spacing w:line="360" w:lineRule="auto"/>
        <w:ind w:firstLine="480"/>
        <w:rPr>
          <w:rFonts w:hint="eastAsia"/>
        </w:rPr>
      </w:pPr>
      <w:r>
        <w:rPr>
          <w:rFonts w:ascii="Times New Roman" w:hAnsi="Times New Roman" w:cs="Times New Roman"/>
        </w:rPr>
        <w:t>该结果应准确表述为患者级反事实敏感性或</w:t>
      </w:r>
      <w:r>
        <w:rPr>
          <w:rFonts w:ascii="Times New Roman" w:hAnsi="Times New Roman" w:cs="Times New Roman"/>
        </w:rPr>
        <w:t xml:space="preserve"> ICE-like effect</w:t>
      </w:r>
      <w:r>
        <w:rPr>
          <w:rFonts w:ascii="Times New Roman" w:hAnsi="Times New Roman" w:cs="Times New Roman"/>
        </w:rPr>
        <w:t>（</w:t>
      </w:r>
      <w:r>
        <w:rPr>
          <w:rFonts w:ascii="Times New Roman" w:hAnsi="Times New Roman" w:cs="Times New Roman"/>
        </w:rPr>
        <w:t xml:space="preserve">Individual Counterfactual Effect </w:t>
      </w:r>
      <w:r>
        <w:rPr>
          <w:rFonts w:ascii="Times New Roman" w:hAnsi="Times New Roman" w:cs="Times New Roman"/>
        </w:rPr>
        <w:t>的类比），而非严格的群体因果效应（</w:t>
      </w:r>
      <w:r>
        <w:rPr>
          <w:rFonts w:ascii="Times New Roman" w:hAnsi="Times New Roman" w:cs="Times New Roman"/>
        </w:rPr>
        <w:t>ATE</w:t>
      </w:r>
      <w:r>
        <w:rPr>
          <w:rFonts w:ascii="Times New Roman" w:hAnsi="Times New Roman" w:cs="Times New Roman"/>
        </w:rPr>
        <w:t>）。其核心价值在于：辅助判断候选分子的效应方向一致性、揭示患者间的异质性响应模式，以及评估候选分子的潜在分层价值。</w:t>
      </w:r>
    </w:p>
    <w:p w14:paraId="28BCE1CF" w14:textId="77777777" w:rsidR="00DC087A" w:rsidRDefault="00000000">
      <w:pPr>
        <w:pStyle w:val="2"/>
        <w:rPr>
          <w:rFonts w:hint="eastAsia"/>
        </w:rPr>
      </w:pPr>
      <w:r>
        <w:t>4.5 综合排序规则</w:t>
      </w:r>
    </w:p>
    <w:p w14:paraId="47915FE1" w14:textId="77777777" w:rsidR="00DC087A" w:rsidRDefault="00000000">
      <w:pPr>
        <w:spacing w:line="360" w:lineRule="auto"/>
        <w:rPr>
          <w:rFonts w:hint="eastAsia"/>
        </w:rPr>
      </w:pPr>
      <w:r>
        <w:rPr>
          <w:rFonts w:ascii="Times New Roman" w:hAnsi="Times New Roman" w:cs="Times New Roman"/>
        </w:rPr>
        <w:lastRenderedPageBreak/>
        <w:t>最终候选</w:t>
      </w:r>
      <w:r>
        <w:rPr>
          <w:rFonts w:ascii="Times New Roman" w:hAnsi="Times New Roman" w:cs="Times New Roman"/>
        </w:rPr>
        <w:t xml:space="preserve"> biomarker </w:t>
      </w:r>
      <w:r>
        <w:rPr>
          <w:rFonts w:ascii="Times New Roman" w:hAnsi="Times New Roman" w:cs="Times New Roman"/>
        </w:rPr>
        <w:t>排名不应依赖单一维度，而应综合多层证据进行加权评分：</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311D535D" w14:textId="77777777">
        <w:tc>
          <w:tcPr>
            <w:tcW w:w="500" w:type="pct"/>
            <w:tcBorders>
              <w:top w:val="nil"/>
              <w:left w:val="nil"/>
              <w:bottom w:val="nil"/>
              <w:right w:val="nil"/>
            </w:tcBorders>
          </w:tcPr>
          <w:p w14:paraId="31834966" w14:textId="77777777" w:rsidR="00DC087A" w:rsidRDefault="00DC087A">
            <w:pPr>
              <w:rPr>
                <w:rFonts w:hint="eastAsia"/>
              </w:rPr>
            </w:pPr>
          </w:p>
        </w:tc>
        <w:tc>
          <w:tcPr>
            <w:tcW w:w="4000" w:type="pct"/>
            <w:tcBorders>
              <w:top w:val="nil"/>
              <w:left w:val="nil"/>
              <w:bottom w:val="nil"/>
              <w:right w:val="nil"/>
            </w:tcBorders>
            <w:vAlign w:val="center"/>
          </w:tcPr>
          <w:p w14:paraId="65DE06BB" w14:textId="77777777" w:rsidR="00DC087A" w:rsidRDefault="00000000">
            <w:pPr>
              <w:spacing w:before="40" w:after="40"/>
              <w:jc w:val="center"/>
              <w:rPr>
                <w:rFonts w:hint="eastAsia"/>
              </w:rPr>
            </w:pPr>
            <m:oMathPara>
              <m:oMath>
                <m:sSub>
                  <m:sSubPr>
                    <m:ctrlPr>
                      <w:rPr>
                        <w:rFonts w:ascii="Cambria Math" w:hAnsi="Cambria Math"/>
                      </w:rPr>
                    </m:ctrlPr>
                  </m:sSubPr>
                  <m:e>
                    <m:r>
                      <w:rPr>
                        <w:rFonts w:ascii="Cambria Math" w:hAnsi="Cambria Math"/>
                      </w:rPr>
                      <m:t>FinalScore</m:t>
                    </m:r>
                  </m:e>
                  <m:sub>
                    <m:r>
                      <w:rPr>
                        <w:rFonts w:ascii="Cambria Math" w:hAnsi="Cambria Math"/>
                      </w:rPr>
                      <m:t>j</m:t>
                    </m:r>
                  </m:sub>
                </m:sSub>
                <m:r>
                  <w:rPr>
                    <w:rFonts w:ascii="Cambria Math" w:hAnsi="Cambria Math"/>
                  </w:rPr>
                  <m:t>=α·</m:t>
                </m:r>
                <m:sSub>
                  <m:sSubPr>
                    <m:ctrlPr>
                      <w:rPr>
                        <w:rFonts w:ascii="Cambria Math" w:hAnsi="Cambria Math"/>
                      </w:rPr>
                    </m:ctrlPr>
                  </m:sSubPr>
                  <m:e>
                    <m:r>
                      <w:rPr>
                        <w:rFonts w:ascii="Cambria Math" w:hAnsi="Cambria Math"/>
                      </w:rPr>
                      <m:t>DirectScore</m:t>
                    </m:r>
                  </m:e>
                  <m:sub>
                    <m:r>
                      <w:rPr>
                        <w:rFonts w:ascii="Cambria Math" w:hAnsi="Cambria Math"/>
                      </w:rPr>
                      <m:t>j</m:t>
                    </m:r>
                  </m:sub>
                </m:sSub>
                <m:r>
                  <w:rPr>
                    <w:rFonts w:ascii="Cambria Math" w:hAnsi="Cambria Math"/>
                  </w:rPr>
                  <m:t>+β·</m:t>
                </m:r>
                <m:sSub>
                  <m:sSubPr>
                    <m:ctrlPr>
                      <w:rPr>
                        <w:rFonts w:ascii="Cambria Math" w:hAnsi="Cambria Math"/>
                      </w:rPr>
                    </m:ctrlPr>
                  </m:sSubPr>
                  <m:e>
                    <m:r>
                      <w:rPr>
                        <w:rFonts w:ascii="Cambria Math" w:hAnsi="Cambria Math"/>
                      </w:rPr>
                      <m:t>TotalScore</m:t>
                    </m:r>
                  </m:e>
                  <m:sub>
                    <m:r>
                      <w:rPr>
                        <w:rFonts w:ascii="Cambria Math" w:hAnsi="Cambria Math"/>
                      </w:rPr>
                      <m:t>j</m:t>
                    </m:r>
                  </m:sub>
                </m:sSub>
                <m:r>
                  <w:rPr>
                    <w:rFonts w:ascii="Cambria Math" w:hAnsi="Cambria Math"/>
                  </w:rPr>
                  <m:t>+γ·</m:t>
                </m:r>
                <m:sSub>
                  <m:sSubPr>
                    <m:ctrlPr>
                      <w:rPr>
                        <w:rFonts w:ascii="Cambria Math" w:hAnsi="Cambria Math"/>
                      </w:rPr>
                    </m:ctrlPr>
                  </m:sSubPr>
                  <m:e>
                    <m:r>
                      <w:rPr>
                        <w:rFonts w:ascii="Cambria Math" w:hAnsi="Cambria Math"/>
                      </w:rPr>
                      <m:t>StabilityScore</m:t>
                    </m:r>
                  </m:e>
                  <m:sub>
                    <m:r>
                      <w:rPr>
                        <w:rFonts w:ascii="Cambria Math" w:hAnsi="Cambria Math"/>
                      </w:rPr>
                      <m:t>j</m:t>
                    </m:r>
                  </m:sub>
                </m:sSub>
                <m:r>
                  <w:rPr>
                    <w:rFonts w:ascii="Cambria Math" w:hAnsi="Cambria Math"/>
                  </w:rPr>
                  <m:t>+δ·</m:t>
                </m:r>
                <m:sSub>
                  <m:sSubPr>
                    <m:ctrlPr>
                      <w:rPr>
                        <w:rFonts w:ascii="Cambria Math" w:hAnsi="Cambria Math"/>
                      </w:rPr>
                    </m:ctrlPr>
                  </m:sSubPr>
                  <m:e>
                    <m:r>
                      <w:rPr>
                        <w:rFonts w:ascii="Cambria Math" w:hAnsi="Cambria Math"/>
                      </w:rPr>
                      <m:t>CounterfactualConsistency</m:t>
                    </m:r>
                  </m:e>
                  <m:sub>
                    <m:r>
                      <w:rPr>
                        <w:rFonts w:ascii="Cambria Math" w:hAnsi="Cambria Math"/>
                      </w:rPr>
                      <m:t>j</m:t>
                    </m:r>
                  </m:sub>
                </m:sSub>
                <m:r>
                  <w:rPr>
                    <w:rFonts w:ascii="Cambria Math" w:hAnsi="Cambria Math"/>
                  </w:rPr>
                  <m:t>+η·</m:t>
                </m:r>
                <m:sSub>
                  <m:sSubPr>
                    <m:ctrlPr>
                      <w:rPr>
                        <w:rFonts w:ascii="Cambria Math" w:hAnsi="Cambria Math"/>
                      </w:rPr>
                    </m:ctrlPr>
                  </m:sSubPr>
                  <m:e>
                    <m:r>
                      <w:rPr>
                        <w:rFonts w:ascii="Cambria Math" w:hAnsi="Cambria Math"/>
                      </w:rPr>
                      <m:t>BiologicalEvidence</m:t>
                    </m:r>
                  </m:e>
                  <m:sub>
                    <m:r>
                      <w:rPr>
                        <w:rFonts w:ascii="Cambria Math" w:hAnsi="Cambria Math"/>
                      </w:rPr>
                      <m:t>j</m:t>
                    </m:r>
                  </m:sub>
                </m:sSub>
              </m:oMath>
            </m:oMathPara>
          </w:p>
        </w:tc>
        <w:tc>
          <w:tcPr>
            <w:tcW w:w="500" w:type="pct"/>
            <w:tcBorders>
              <w:top w:val="nil"/>
              <w:left w:val="nil"/>
              <w:bottom w:val="nil"/>
              <w:right w:val="nil"/>
            </w:tcBorders>
            <w:vAlign w:val="center"/>
          </w:tcPr>
          <w:p w14:paraId="41922F9A" w14:textId="77777777" w:rsidR="00DC087A" w:rsidRDefault="00000000">
            <w:pPr>
              <w:spacing w:before="40" w:after="40"/>
              <w:jc w:val="right"/>
              <w:rPr>
                <w:rFonts w:hint="eastAsia"/>
              </w:rPr>
            </w:pPr>
            <w:r>
              <w:rPr>
                <w:rFonts w:ascii="Times New Roman" w:hAnsi="Times New Roman" w:cs="Times New Roman"/>
                <w:sz w:val="20"/>
                <w:szCs w:val="20"/>
              </w:rPr>
              <w:t>(4-6)</w:t>
            </w:r>
          </w:p>
        </w:tc>
      </w:tr>
    </w:tbl>
    <w:p w14:paraId="551A62AE" w14:textId="77777777" w:rsidR="00DC087A" w:rsidRDefault="00000000">
      <w:pPr>
        <w:spacing w:line="360" w:lineRule="auto"/>
        <w:rPr>
          <w:rFonts w:hint="eastAsia"/>
        </w:rPr>
      </w:pPr>
      <w:r>
        <w:rPr>
          <w:rFonts w:ascii="Times New Roman" w:hAnsi="Times New Roman" w:cs="Times New Roman"/>
        </w:rPr>
        <w:t>各项含义如下：</w:t>
      </w:r>
    </w:p>
    <w:tbl>
      <w:tblPr>
        <w:tblW w:w="5000" w:type="pct"/>
        <w:tblLayout w:type="fixed"/>
        <w:tblCellMar>
          <w:left w:w="10" w:type="dxa"/>
          <w:right w:w="10" w:type="dxa"/>
        </w:tblCellMar>
        <w:tblLook w:val="04A0" w:firstRow="1" w:lastRow="0" w:firstColumn="1" w:lastColumn="0" w:noHBand="0" w:noVBand="1"/>
      </w:tblPr>
      <w:tblGrid>
        <w:gridCol w:w="2658"/>
        <w:gridCol w:w="5648"/>
      </w:tblGrid>
      <w:tr w:rsidR="00DC087A" w14:paraId="19C5366B" w14:textId="77777777">
        <w:trPr>
          <w:tblHeader/>
        </w:trPr>
        <w:tc>
          <w:tcPr>
            <w:tcW w:w="1600" w:type="pct"/>
            <w:tcBorders>
              <w:top w:val="single" w:sz="2" w:space="0" w:color="000000"/>
              <w:left w:val="nil"/>
              <w:bottom w:val="single" w:sz="0" w:space="0" w:color="000000"/>
              <w:right w:val="nil"/>
            </w:tcBorders>
            <w:shd w:val="clear" w:color="auto" w:fill="D9E2F3"/>
            <w:vAlign w:val="center"/>
          </w:tcPr>
          <w:p w14:paraId="3AB2537B" w14:textId="77777777" w:rsidR="00DC087A" w:rsidRDefault="00000000">
            <w:pPr>
              <w:spacing w:before="40" w:after="40" w:line="276" w:lineRule="auto"/>
              <w:jc w:val="center"/>
              <w:rPr>
                <w:rFonts w:hint="eastAsia"/>
              </w:rPr>
            </w:pPr>
            <w:r>
              <w:rPr>
                <w:rFonts w:ascii="Times New Roman" w:hAnsi="Times New Roman" w:cs="Times New Roman"/>
                <w:b/>
                <w:bCs/>
              </w:rPr>
              <w:t>评分维度</w:t>
            </w:r>
          </w:p>
        </w:tc>
        <w:tc>
          <w:tcPr>
            <w:tcW w:w="3400" w:type="pct"/>
            <w:tcBorders>
              <w:top w:val="single" w:sz="2" w:space="0" w:color="000000"/>
              <w:left w:val="nil"/>
              <w:bottom w:val="single" w:sz="0" w:space="0" w:color="000000"/>
              <w:right w:val="nil"/>
            </w:tcBorders>
            <w:shd w:val="clear" w:color="auto" w:fill="D9E2F3"/>
            <w:vAlign w:val="center"/>
          </w:tcPr>
          <w:p w14:paraId="0DAB2753" w14:textId="77777777" w:rsidR="00DC087A" w:rsidRDefault="00000000">
            <w:pPr>
              <w:spacing w:before="40" w:after="40" w:line="276" w:lineRule="auto"/>
              <w:jc w:val="center"/>
              <w:rPr>
                <w:rFonts w:hint="eastAsia"/>
              </w:rPr>
            </w:pPr>
            <w:r>
              <w:rPr>
                <w:rFonts w:ascii="Times New Roman" w:hAnsi="Times New Roman" w:cs="Times New Roman"/>
                <w:b/>
                <w:bCs/>
              </w:rPr>
              <w:t>含义说明</w:t>
            </w:r>
          </w:p>
        </w:tc>
      </w:tr>
      <w:tr w:rsidR="00DC087A" w14:paraId="4B0AE3AD" w14:textId="77777777">
        <w:trPr>
          <w:trHeight w:val="567"/>
        </w:trPr>
        <w:tc>
          <w:tcPr>
            <w:tcW w:w="1600" w:type="pct"/>
            <w:tcBorders>
              <w:top w:val="nil"/>
              <w:left w:val="nil"/>
              <w:bottom w:val="nil"/>
              <w:right w:val="nil"/>
            </w:tcBorders>
            <w:vAlign w:val="center"/>
          </w:tcPr>
          <w:p w14:paraId="05DD936C" w14:textId="77777777" w:rsidR="00DC087A" w:rsidRDefault="00000000">
            <w:pPr>
              <w:spacing w:before="40" w:after="40" w:line="276" w:lineRule="auto"/>
              <w:jc w:val="center"/>
              <w:rPr>
                <w:rFonts w:hint="eastAsia"/>
              </w:rPr>
            </w:pPr>
            <w:r>
              <w:rPr>
                <w:rFonts w:ascii="Times New Roman" w:hAnsi="Times New Roman" w:cs="Times New Roman"/>
              </w:rPr>
              <w:t>DirectScore</w:t>
            </w:r>
          </w:p>
        </w:tc>
        <w:tc>
          <w:tcPr>
            <w:tcW w:w="3400" w:type="pct"/>
            <w:tcBorders>
              <w:top w:val="nil"/>
              <w:left w:val="nil"/>
              <w:bottom w:val="nil"/>
              <w:right w:val="nil"/>
            </w:tcBorders>
            <w:vAlign w:val="center"/>
          </w:tcPr>
          <w:p w14:paraId="03774B4F" w14:textId="77777777" w:rsidR="00DC087A" w:rsidRDefault="00000000">
            <w:pPr>
              <w:spacing w:before="40" w:after="40" w:line="276" w:lineRule="auto"/>
              <w:jc w:val="left"/>
              <w:rPr>
                <w:rFonts w:hint="eastAsia"/>
              </w:rPr>
            </w:pPr>
            <w:r>
              <w:rPr>
                <w:rFonts w:ascii="Times New Roman" w:hAnsi="Times New Roman" w:cs="Times New Roman"/>
              </w:rPr>
              <w:t>直接结构因果效应（</w:t>
            </w:r>
            <w:r>
              <w:rPr>
                <w:rFonts w:ascii="Times New Roman" w:hAnsi="Times New Roman" w:cs="Times New Roman"/>
              </w:rPr>
              <w:t xml:space="preserve">G </w:t>
            </w:r>
            <w:r>
              <w:rPr>
                <w:rFonts w:ascii="Times New Roman" w:hAnsi="Times New Roman" w:cs="Times New Roman"/>
              </w:rPr>
              <w:t>矩阵边权）</w:t>
            </w:r>
          </w:p>
        </w:tc>
      </w:tr>
      <w:tr w:rsidR="00DC087A" w14:paraId="7F4E4C3C" w14:textId="77777777">
        <w:trPr>
          <w:trHeight w:val="567"/>
        </w:trPr>
        <w:tc>
          <w:tcPr>
            <w:tcW w:w="1600" w:type="pct"/>
            <w:tcBorders>
              <w:top w:val="nil"/>
              <w:left w:val="nil"/>
              <w:bottom w:val="nil"/>
              <w:right w:val="nil"/>
            </w:tcBorders>
            <w:vAlign w:val="center"/>
          </w:tcPr>
          <w:p w14:paraId="5735C90B" w14:textId="77777777" w:rsidR="00DC087A" w:rsidRDefault="00000000">
            <w:pPr>
              <w:spacing w:before="40" w:after="40" w:line="276" w:lineRule="auto"/>
              <w:jc w:val="center"/>
              <w:rPr>
                <w:rFonts w:hint="eastAsia"/>
              </w:rPr>
            </w:pPr>
            <w:r>
              <w:rPr>
                <w:rFonts w:ascii="Times New Roman" w:hAnsi="Times New Roman" w:cs="Times New Roman"/>
              </w:rPr>
              <w:t>TotalScore</w:t>
            </w:r>
          </w:p>
        </w:tc>
        <w:tc>
          <w:tcPr>
            <w:tcW w:w="3400" w:type="pct"/>
            <w:tcBorders>
              <w:top w:val="nil"/>
              <w:left w:val="nil"/>
              <w:bottom w:val="nil"/>
              <w:right w:val="nil"/>
            </w:tcBorders>
            <w:vAlign w:val="center"/>
          </w:tcPr>
          <w:p w14:paraId="075FE00E" w14:textId="77777777" w:rsidR="00DC087A" w:rsidRDefault="00000000">
            <w:pPr>
              <w:spacing w:before="40" w:after="40" w:line="276" w:lineRule="auto"/>
              <w:jc w:val="left"/>
              <w:rPr>
                <w:rFonts w:hint="eastAsia"/>
              </w:rPr>
            </w:pPr>
            <w:r>
              <w:rPr>
                <w:rFonts w:ascii="Times New Roman" w:hAnsi="Times New Roman" w:cs="Times New Roman"/>
              </w:rPr>
              <w:t>含间接路径传导的总因果效应（</w:t>
            </w:r>
            <w:r>
              <w:rPr>
                <w:rFonts w:ascii="Times New Roman" w:hAnsi="Times New Roman" w:cs="Times New Roman"/>
              </w:rPr>
              <w:t xml:space="preserve">C </w:t>
            </w:r>
            <w:r>
              <w:rPr>
                <w:rFonts w:ascii="Times New Roman" w:hAnsi="Times New Roman" w:cs="Times New Roman"/>
              </w:rPr>
              <w:t>矩阵）</w:t>
            </w:r>
          </w:p>
        </w:tc>
      </w:tr>
      <w:tr w:rsidR="00DC087A" w14:paraId="3D1DFDC1" w14:textId="77777777">
        <w:trPr>
          <w:trHeight w:val="567"/>
        </w:trPr>
        <w:tc>
          <w:tcPr>
            <w:tcW w:w="1600" w:type="pct"/>
            <w:tcBorders>
              <w:top w:val="nil"/>
              <w:left w:val="nil"/>
              <w:bottom w:val="nil"/>
              <w:right w:val="nil"/>
            </w:tcBorders>
            <w:vAlign w:val="center"/>
          </w:tcPr>
          <w:p w14:paraId="799CE600" w14:textId="77777777" w:rsidR="00DC087A" w:rsidRDefault="00000000">
            <w:pPr>
              <w:spacing w:before="40" w:after="40" w:line="276" w:lineRule="auto"/>
              <w:jc w:val="center"/>
              <w:rPr>
                <w:rFonts w:hint="eastAsia"/>
              </w:rPr>
            </w:pPr>
            <w:r>
              <w:rPr>
                <w:rFonts w:ascii="Times New Roman" w:hAnsi="Times New Roman" w:cs="Times New Roman"/>
              </w:rPr>
              <w:t>StabilityScore</w:t>
            </w:r>
          </w:p>
        </w:tc>
        <w:tc>
          <w:tcPr>
            <w:tcW w:w="3400" w:type="pct"/>
            <w:tcBorders>
              <w:top w:val="nil"/>
              <w:left w:val="nil"/>
              <w:bottom w:val="nil"/>
              <w:right w:val="nil"/>
            </w:tcBorders>
            <w:vAlign w:val="center"/>
          </w:tcPr>
          <w:p w14:paraId="6471DCC7" w14:textId="77777777" w:rsidR="00DC087A" w:rsidRDefault="00000000">
            <w:pPr>
              <w:spacing w:before="40" w:after="40" w:line="276" w:lineRule="auto"/>
              <w:jc w:val="left"/>
              <w:rPr>
                <w:rFonts w:hint="eastAsia"/>
              </w:rPr>
            </w:pPr>
            <w:r>
              <w:rPr>
                <w:rFonts w:ascii="Times New Roman" w:hAnsi="Times New Roman" w:cs="Times New Roman"/>
              </w:rPr>
              <w:t>跨</w:t>
            </w:r>
            <w:r>
              <w:rPr>
                <w:rFonts w:ascii="Times New Roman" w:hAnsi="Times New Roman" w:cs="Times New Roman"/>
              </w:rPr>
              <w:t xml:space="preserve"> seed</w:t>
            </w:r>
            <w:r>
              <w:rPr>
                <w:rFonts w:ascii="Times New Roman" w:hAnsi="Times New Roman" w:cs="Times New Roman"/>
              </w:rPr>
              <w:t>、跨阈值的排名稳定程度</w:t>
            </w:r>
          </w:p>
        </w:tc>
      </w:tr>
      <w:tr w:rsidR="00DC087A" w14:paraId="7F3B127B" w14:textId="77777777">
        <w:trPr>
          <w:trHeight w:val="567"/>
        </w:trPr>
        <w:tc>
          <w:tcPr>
            <w:tcW w:w="1600" w:type="pct"/>
            <w:tcBorders>
              <w:top w:val="nil"/>
              <w:left w:val="nil"/>
              <w:bottom w:val="nil"/>
              <w:right w:val="nil"/>
            </w:tcBorders>
            <w:vAlign w:val="center"/>
          </w:tcPr>
          <w:p w14:paraId="565FB6B5" w14:textId="77777777" w:rsidR="00DC087A" w:rsidRDefault="00000000">
            <w:pPr>
              <w:spacing w:before="40" w:after="40" w:line="276" w:lineRule="auto"/>
              <w:jc w:val="center"/>
              <w:rPr>
                <w:rFonts w:hint="eastAsia"/>
              </w:rPr>
            </w:pPr>
            <w:r>
              <w:rPr>
                <w:rFonts w:ascii="Times New Roman" w:hAnsi="Times New Roman" w:cs="Times New Roman"/>
              </w:rPr>
              <w:t>CounterfactualConsistency</w:t>
            </w:r>
          </w:p>
        </w:tc>
        <w:tc>
          <w:tcPr>
            <w:tcW w:w="3400" w:type="pct"/>
            <w:tcBorders>
              <w:top w:val="nil"/>
              <w:left w:val="nil"/>
              <w:bottom w:val="nil"/>
              <w:right w:val="nil"/>
            </w:tcBorders>
            <w:vAlign w:val="center"/>
          </w:tcPr>
          <w:p w14:paraId="30D08C35" w14:textId="77777777" w:rsidR="00DC087A" w:rsidRDefault="00000000">
            <w:pPr>
              <w:spacing w:before="40" w:after="40" w:line="276" w:lineRule="auto"/>
              <w:jc w:val="left"/>
              <w:rPr>
                <w:rFonts w:hint="eastAsia"/>
              </w:rPr>
            </w:pPr>
            <w:r>
              <w:rPr>
                <w:rFonts w:ascii="Times New Roman" w:hAnsi="Times New Roman" w:cs="Times New Roman"/>
              </w:rPr>
              <w:t>虚拟扰动中效应方向的一致性（正向</w:t>
            </w:r>
            <w:r>
              <w:rPr>
                <w:rFonts w:ascii="Times New Roman" w:hAnsi="Times New Roman" w:cs="Times New Roman"/>
              </w:rPr>
              <w:t>/</w:t>
            </w:r>
            <w:r>
              <w:rPr>
                <w:rFonts w:ascii="Times New Roman" w:hAnsi="Times New Roman" w:cs="Times New Roman"/>
              </w:rPr>
              <w:t>负向不翻转）</w:t>
            </w:r>
          </w:p>
        </w:tc>
      </w:tr>
      <w:tr w:rsidR="00DC087A" w14:paraId="55768B99" w14:textId="77777777">
        <w:trPr>
          <w:trHeight w:val="567"/>
        </w:trPr>
        <w:tc>
          <w:tcPr>
            <w:tcW w:w="1600" w:type="pct"/>
            <w:tcBorders>
              <w:top w:val="nil"/>
              <w:left w:val="nil"/>
              <w:bottom w:val="single" w:sz="2" w:space="0" w:color="000000"/>
              <w:right w:val="nil"/>
            </w:tcBorders>
            <w:vAlign w:val="center"/>
          </w:tcPr>
          <w:p w14:paraId="5EBEEC37" w14:textId="77777777" w:rsidR="00DC087A" w:rsidRDefault="00000000">
            <w:pPr>
              <w:spacing w:before="40" w:after="40" w:line="276" w:lineRule="auto"/>
              <w:jc w:val="center"/>
              <w:rPr>
                <w:rFonts w:hint="eastAsia"/>
              </w:rPr>
            </w:pPr>
            <w:r>
              <w:rPr>
                <w:rFonts w:ascii="Times New Roman" w:hAnsi="Times New Roman" w:cs="Times New Roman"/>
              </w:rPr>
              <w:t>BiologicalEvidence</w:t>
            </w:r>
          </w:p>
        </w:tc>
        <w:tc>
          <w:tcPr>
            <w:tcW w:w="3400" w:type="pct"/>
            <w:tcBorders>
              <w:top w:val="nil"/>
              <w:left w:val="nil"/>
              <w:bottom w:val="single" w:sz="2" w:space="0" w:color="000000"/>
              <w:right w:val="nil"/>
            </w:tcBorders>
            <w:vAlign w:val="center"/>
          </w:tcPr>
          <w:p w14:paraId="21394ED3" w14:textId="77777777" w:rsidR="00DC087A" w:rsidRDefault="00000000">
            <w:pPr>
              <w:spacing w:before="40" w:after="40" w:line="276" w:lineRule="auto"/>
              <w:jc w:val="left"/>
              <w:rPr>
                <w:rFonts w:hint="eastAsia"/>
              </w:rPr>
            </w:pPr>
            <w:r>
              <w:rPr>
                <w:rFonts w:ascii="Times New Roman" w:hAnsi="Times New Roman" w:cs="Times New Roman"/>
              </w:rPr>
              <w:t>外部知识库、通路数据库和文献证据的支持程度</w:t>
            </w:r>
          </w:p>
        </w:tc>
      </w:tr>
    </w:tbl>
    <w:p w14:paraId="0EAF2964" w14:textId="77777777" w:rsidR="00DC087A" w:rsidRDefault="00DC087A">
      <w:pPr>
        <w:spacing w:line="360" w:lineRule="auto"/>
        <w:ind w:firstLine="480"/>
        <w:rPr>
          <w:rFonts w:ascii="Times New Roman" w:hAnsi="Times New Roman" w:cs="Times New Roman"/>
        </w:rPr>
      </w:pPr>
    </w:p>
    <w:p w14:paraId="65790B64" w14:textId="77777777" w:rsidR="00DC087A" w:rsidRDefault="00000000">
      <w:pPr>
        <w:spacing w:line="360" w:lineRule="auto"/>
        <w:ind w:firstLine="480"/>
        <w:rPr>
          <w:rFonts w:hint="eastAsia"/>
        </w:rPr>
      </w:pPr>
      <w:r>
        <w:rPr>
          <w:rFonts w:ascii="Times New Roman" w:hAnsi="Times New Roman" w:cs="Times New Roman"/>
        </w:rPr>
        <w:t>在实际产出中，建议分别提供模型原始排名、稳定性修正排名和生物证据修正排名三张独立清单，避免单一综合分数掩盖不同证据来源之间的信息差异，同时为下游研究者提供灵活的决策依据。</w:t>
      </w:r>
    </w:p>
    <w:p w14:paraId="4BF65EAF" w14:textId="77777777" w:rsidR="00DC087A" w:rsidRDefault="00000000">
      <w:pPr>
        <w:pStyle w:val="1"/>
        <w:jc w:val="center"/>
        <w:rPr>
          <w:rFonts w:hint="eastAsia"/>
        </w:rPr>
      </w:pPr>
      <w:r>
        <w:t>五、验证策略</w:t>
      </w:r>
    </w:p>
    <w:p w14:paraId="5A9EF850" w14:textId="77777777" w:rsidR="00DC087A" w:rsidRDefault="00000000">
      <w:pPr>
        <w:pStyle w:val="2"/>
        <w:rPr>
          <w:rFonts w:hint="eastAsia"/>
        </w:rPr>
      </w:pPr>
      <w:r>
        <w:t>5.1 内部一致性验证</w:t>
      </w:r>
    </w:p>
    <w:p w14:paraId="7DA3E129" w14:textId="77777777" w:rsidR="00DC087A" w:rsidRDefault="00000000">
      <w:pPr>
        <w:spacing w:line="360" w:lineRule="auto"/>
        <w:ind w:firstLine="480"/>
        <w:rPr>
          <w:rFonts w:hint="eastAsia"/>
        </w:rPr>
      </w:pPr>
      <w:r>
        <w:rPr>
          <w:rFonts w:ascii="Times New Roman" w:hAnsi="Times New Roman" w:cs="Times New Roman"/>
        </w:rPr>
        <w:t>检查</w:t>
      </w:r>
      <w:r>
        <w:rPr>
          <w:rFonts w:ascii="Times New Roman" w:hAnsi="Times New Roman" w:cs="Times New Roman"/>
        </w:rPr>
        <w:t xml:space="preserve"> Top </w:t>
      </w:r>
      <w:r>
        <w:rPr>
          <w:rFonts w:ascii="Times New Roman" w:hAnsi="Times New Roman" w:cs="Times New Roman"/>
        </w:rPr>
        <w:t>候选分子是否与</w:t>
      </w:r>
      <w:r>
        <w:rPr>
          <w:rFonts w:ascii="Times New Roman" w:hAnsi="Times New Roman" w:cs="Times New Roman"/>
        </w:rPr>
        <w:t xml:space="preserve"> ACLF </w:t>
      </w:r>
      <w:r>
        <w:rPr>
          <w:rFonts w:ascii="Times New Roman" w:hAnsi="Times New Roman" w:cs="Times New Roman"/>
        </w:rPr>
        <w:t>已知病理过程一致，核心验证维度包括：炎症反应、肝细胞损伤、胆汁淤积、凝血异常、免疫激活、内皮损伤、肾功能损伤及多器官衰竭。</w:t>
      </w:r>
    </w:p>
    <w:p w14:paraId="61BDE90A" w14:textId="77777777" w:rsidR="00DC087A" w:rsidRDefault="00000000">
      <w:pPr>
        <w:spacing w:line="360" w:lineRule="auto"/>
        <w:ind w:firstLine="480"/>
        <w:rPr>
          <w:rFonts w:hint="eastAsia"/>
        </w:rPr>
      </w:pPr>
      <w:r>
        <w:rPr>
          <w:rFonts w:ascii="Times New Roman" w:hAnsi="Times New Roman" w:cs="Times New Roman"/>
        </w:rPr>
        <w:t>效应方向的合理性同样需要系统校验：促炎或组织损伤相关分子若对</w:t>
      </w:r>
      <w:r>
        <w:rPr>
          <w:rFonts w:ascii="Times New Roman" w:hAnsi="Times New Roman" w:cs="Times New Roman"/>
        </w:rPr>
        <w:t xml:space="preserve"> CRP</w:t>
      </w:r>
      <w:r>
        <w:rPr>
          <w:rFonts w:ascii="Times New Roman" w:hAnsi="Times New Roman" w:cs="Times New Roman"/>
        </w:rPr>
        <w:t>、</w:t>
      </w:r>
      <w:r>
        <w:rPr>
          <w:rFonts w:ascii="Times New Roman" w:hAnsi="Times New Roman" w:cs="Times New Roman"/>
        </w:rPr>
        <w:t>WBC</w:t>
      </w:r>
      <w:r>
        <w:rPr>
          <w:rFonts w:ascii="Times New Roman" w:hAnsi="Times New Roman" w:cs="Times New Roman"/>
        </w:rPr>
        <w:t>、</w:t>
      </w:r>
      <w:r>
        <w:rPr>
          <w:rFonts w:ascii="Times New Roman" w:hAnsi="Times New Roman" w:cs="Times New Roman"/>
        </w:rPr>
        <w:t>NEUT_P</w:t>
      </w:r>
      <w:r>
        <w:rPr>
          <w:rFonts w:ascii="Times New Roman" w:hAnsi="Times New Roman" w:cs="Times New Roman"/>
        </w:rPr>
        <w:t>、</w:t>
      </w:r>
      <w:r>
        <w:rPr>
          <w:rFonts w:ascii="Times New Roman" w:hAnsi="Times New Roman" w:cs="Times New Roman"/>
        </w:rPr>
        <w:t>TBil</w:t>
      </w:r>
      <w:r>
        <w:rPr>
          <w:rFonts w:ascii="Times New Roman" w:hAnsi="Times New Roman" w:cs="Times New Roman"/>
        </w:rPr>
        <w:t>、</w:t>
      </w:r>
      <w:r>
        <w:rPr>
          <w:rFonts w:ascii="Times New Roman" w:hAnsi="Times New Roman" w:cs="Times New Roman"/>
        </w:rPr>
        <w:t xml:space="preserve">DBil </w:t>
      </w:r>
      <w:r>
        <w:rPr>
          <w:rFonts w:ascii="Times New Roman" w:hAnsi="Times New Roman" w:cs="Times New Roman"/>
        </w:rPr>
        <w:t>等指标呈现正向驱动效应，则具有较高的方向合理性；保护性或代谢稳态相关分子若对上述损伤指标呈现负向保护效应，则同样具有重要解释价值。</w:t>
      </w:r>
    </w:p>
    <w:p w14:paraId="1C8D9F96" w14:textId="77777777" w:rsidR="00DC087A" w:rsidRDefault="00000000">
      <w:pPr>
        <w:pStyle w:val="2"/>
        <w:rPr>
          <w:rFonts w:hint="eastAsia"/>
        </w:rPr>
      </w:pPr>
      <w:r>
        <w:t>5.2 稳健性验证</w:t>
      </w:r>
    </w:p>
    <w:p w14:paraId="70A807A6" w14:textId="77777777" w:rsidR="00DC087A" w:rsidRDefault="00000000">
      <w:pPr>
        <w:spacing w:line="360" w:lineRule="auto"/>
        <w:ind w:firstLine="480"/>
        <w:rPr>
          <w:rFonts w:hint="eastAsia"/>
        </w:rPr>
      </w:pPr>
      <w:r>
        <w:rPr>
          <w:rFonts w:ascii="Times New Roman" w:hAnsi="Times New Roman" w:cs="Times New Roman"/>
        </w:rPr>
        <w:t>稳健性分析至少应涵盖以下四个维度：</w:t>
      </w:r>
    </w:p>
    <w:tbl>
      <w:tblPr>
        <w:tblW w:w="5000" w:type="pct"/>
        <w:tblLayout w:type="fixed"/>
        <w:tblCellMar>
          <w:left w:w="10" w:type="dxa"/>
          <w:right w:w="10" w:type="dxa"/>
        </w:tblCellMar>
        <w:tblLook w:val="04A0" w:firstRow="1" w:lastRow="0" w:firstColumn="1" w:lastColumn="0" w:noHBand="0" w:noVBand="1"/>
      </w:tblPr>
      <w:tblGrid>
        <w:gridCol w:w="2326"/>
        <w:gridCol w:w="5980"/>
      </w:tblGrid>
      <w:tr w:rsidR="00DC087A" w14:paraId="114C9FF5" w14:textId="77777777">
        <w:trPr>
          <w:tblHeader/>
        </w:trPr>
        <w:tc>
          <w:tcPr>
            <w:tcW w:w="1400" w:type="pct"/>
            <w:tcBorders>
              <w:top w:val="single" w:sz="2" w:space="0" w:color="000000"/>
              <w:left w:val="nil"/>
              <w:bottom w:val="single" w:sz="0" w:space="0" w:color="000000"/>
              <w:right w:val="nil"/>
            </w:tcBorders>
            <w:vAlign w:val="center"/>
          </w:tcPr>
          <w:p w14:paraId="2439E36E" w14:textId="77777777" w:rsidR="00DC087A" w:rsidRDefault="00000000">
            <w:pPr>
              <w:spacing w:before="40" w:after="40" w:line="276" w:lineRule="auto"/>
              <w:jc w:val="center"/>
              <w:rPr>
                <w:rFonts w:hint="eastAsia"/>
              </w:rPr>
            </w:pPr>
            <w:r>
              <w:rPr>
                <w:rFonts w:ascii="Times New Roman" w:hAnsi="Times New Roman" w:cs="Times New Roman"/>
                <w:b/>
                <w:bCs/>
              </w:rPr>
              <w:lastRenderedPageBreak/>
              <w:t>验证项目</w:t>
            </w:r>
          </w:p>
        </w:tc>
        <w:tc>
          <w:tcPr>
            <w:tcW w:w="3600" w:type="pct"/>
            <w:tcBorders>
              <w:top w:val="single" w:sz="2" w:space="0" w:color="000000"/>
              <w:left w:val="nil"/>
              <w:bottom w:val="single" w:sz="0" w:space="0" w:color="000000"/>
              <w:right w:val="nil"/>
            </w:tcBorders>
            <w:vAlign w:val="center"/>
          </w:tcPr>
          <w:p w14:paraId="1D48611F" w14:textId="77777777" w:rsidR="00DC087A" w:rsidRDefault="00000000">
            <w:pPr>
              <w:spacing w:before="40" w:after="40" w:line="276" w:lineRule="auto"/>
              <w:jc w:val="center"/>
              <w:rPr>
                <w:rFonts w:hint="eastAsia"/>
              </w:rPr>
            </w:pPr>
            <w:r>
              <w:rPr>
                <w:rFonts w:ascii="Times New Roman" w:hAnsi="Times New Roman" w:cs="Times New Roman"/>
                <w:b/>
                <w:bCs/>
              </w:rPr>
              <w:t>目的</w:t>
            </w:r>
          </w:p>
        </w:tc>
      </w:tr>
      <w:tr w:rsidR="00DC087A" w14:paraId="7EA62825" w14:textId="77777777">
        <w:tc>
          <w:tcPr>
            <w:tcW w:w="1400" w:type="pct"/>
            <w:tcBorders>
              <w:top w:val="nil"/>
              <w:left w:val="nil"/>
              <w:bottom w:val="nil"/>
              <w:right w:val="nil"/>
            </w:tcBorders>
            <w:vAlign w:val="center"/>
          </w:tcPr>
          <w:p w14:paraId="619AD52C" w14:textId="77777777" w:rsidR="00DC087A" w:rsidRDefault="00000000">
            <w:pPr>
              <w:spacing w:before="40" w:after="40" w:line="276" w:lineRule="auto"/>
              <w:jc w:val="left"/>
              <w:rPr>
                <w:rFonts w:hint="eastAsia"/>
              </w:rPr>
            </w:pPr>
            <w:r>
              <w:rPr>
                <w:rFonts w:ascii="Times New Roman" w:hAnsi="Times New Roman" w:cs="Times New Roman"/>
              </w:rPr>
              <w:t>跨</w:t>
            </w:r>
            <w:r>
              <w:rPr>
                <w:rFonts w:ascii="Times New Roman" w:hAnsi="Times New Roman" w:cs="Times New Roman"/>
              </w:rPr>
              <w:t xml:space="preserve"> seed </w:t>
            </w:r>
            <w:r>
              <w:rPr>
                <w:rFonts w:ascii="Times New Roman" w:hAnsi="Times New Roman" w:cs="Times New Roman"/>
              </w:rPr>
              <w:t>稳定性</w:t>
            </w:r>
          </w:p>
        </w:tc>
        <w:tc>
          <w:tcPr>
            <w:tcW w:w="3600" w:type="pct"/>
            <w:tcBorders>
              <w:top w:val="nil"/>
              <w:left w:val="nil"/>
              <w:bottom w:val="nil"/>
              <w:right w:val="nil"/>
            </w:tcBorders>
            <w:vAlign w:val="center"/>
          </w:tcPr>
          <w:p w14:paraId="002D6E71" w14:textId="77777777" w:rsidR="00DC087A" w:rsidRDefault="00000000">
            <w:pPr>
              <w:spacing w:before="40" w:after="40" w:line="276" w:lineRule="auto"/>
              <w:jc w:val="left"/>
              <w:rPr>
                <w:rFonts w:hint="eastAsia"/>
              </w:rPr>
            </w:pPr>
            <w:r>
              <w:rPr>
                <w:rFonts w:ascii="Times New Roman" w:hAnsi="Times New Roman" w:cs="Times New Roman"/>
              </w:rPr>
              <w:t>排除候选分子对单次训练随机性的依赖</w:t>
            </w:r>
          </w:p>
        </w:tc>
      </w:tr>
      <w:tr w:rsidR="00DC087A" w14:paraId="022C3B8F" w14:textId="77777777">
        <w:tc>
          <w:tcPr>
            <w:tcW w:w="1400" w:type="pct"/>
            <w:tcBorders>
              <w:top w:val="nil"/>
              <w:left w:val="nil"/>
              <w:bottom w:val="nil"/>
              <w:right w:val="nil"/>
            </w:tcBorders>
            <w:vAlign w:val="center"/>
          </w:tcPr>
          <w:p w14:paraId="40E81EB9" w14:textId="77777777" w:rsidR="00DC087A" w:rsidRDefault="00000000">
            <w:pPr>
              <w:spacing w:before="40" w:after="40" w:line="276" w:lineRule="auto"/>
              <w:jc w:val="left"/>
              <w:rPr>
                <w:rFonts w:hint="eastAsia"/>
              </w:rPr>
            </w:pPr>
            <w:r>
              <w:rPr>
                <w:rFonts w:ascii="Times New Roman" w:hAnsi="Times New Roman" w:cs="Times New Roman"/>
              </w:rPr>
              <w:t>矩阵阈值敏感性</w:t>
            </w:r>
          </w:p>
        </w:tc>
        <w:tc>
          <w:tcPr>
            <w:tcW w:w="3600" w:type="pct"/>
            <w:tcBorders>
              <w:top w:val="nil"/>
              <w:left w:val="nil"/>
              <w:bottom w:val="nil"/>
              <w:right w:val="nil"/>
            </w:tcBorders>
            <w:vAlign w:val="center"/>
          </w:tcPr>
          <w:p w14:paraId="17A5D2B9" w14:textId="77777777" w:rsidR="00DC087A" w:rsidRDefault="00000000">
            <w:pPr>
              <w:spacing w:before="40" w:after="40" w:line="276" w:lineRule="auto"/>
              <w:jc w:val="left"/>
              <w:rPr>
                <w:rFonts w:hint="eastAsia"/>
              </w:rPr>
            </w:pPr>
            <w:r>
              <w:rPr>
                <w:rFonts w:ascii="Times New Roman" w:hAnsi="Times New Roman" w:cs="Times New Roman"/>
              </w:rPr>
              <w:t>评估总效应排名对</w:t>
            </w:r>
            <w:r>
              <w:rPr>
                <w:rFonts w:ascii="Times New Roman" w:hAnsi="Times New Roman" w:cs="Times New Roman"/>
              </w:rPr>
              <w:t xml:space="preserve"> G </w:t>
            </w:r>
            <w:r>
              <w:rPr>
                <w:rFonts w:ascii="Times New Roman" w:hAnsi="Times New Roman" w:cs="Times New Roman"/>
              </w:rPr>
              <w:t>矩阵稀疏化参数的鲁棒性</w:t>
            </w:r>
          </w:p>
        </w:tc>
      </w:tr>
      <w:tr w:rsidR="00DC087A" w14:paraId="38ACB28D" w14:textId="77777777">
        <w:tc>
          <w:tcPr>
            <w:tcW w:w="1400" w:type="pct"/>
            <w:tcBorders>
              <w:top w:val="nil"/>
              <w:left w:val="nil"/>
              <w:bottom w:val="nil"/>
              <w:right w:val="nil"/>
            </w:tcBorders>
            <w:vAlign w:val="center"/>
          </w:tcPr>
          <w:p w14:paraId="7E20F3D2" w14:textId="77777777" w:rsidR="00DC087A" w:rsidRDefault="00000000">
            <w:pPr>
              <w:spacing w:before="40" w:after="40" w:line="276" w:lineRule="auto"/>
              <w:jc w:val="left"/>
              <w:rPr>
                <w:rFonts w:hint="eastAsia"/>
              </w:rPr>
            </w:pPr>
            <w:r>
              <w:rPr>
                <w:rFonts w:ascii="Times New Roman" w:hAnsi="Times New Roman" w:cs="Times New Roman"/>
              </w:rPr>
              <w:t>扰动幅度敏感性</w:t>
            </w:r>
          </w:p>
        </w:tc>
        <w:tc>
          <w:tcPr>
            <w:tcW w:w="3600" w:type="pct"/>
            <w:tcBorders>
              <w:top w:val="nil"/>
              <w:left w:val="nil"/>
              <w:bottom w:val="nil"/>
              <w:right w:val="nil"/>
            </w:tcBorders>
            <w:vAlign w:val="center"/>
          </w:tcPr>
          <w:p w14:paraId="679BA99F" w14:textId="77777777" w:rsidR="00DC087A" w:rsidRDefault="00000000">
            <w:pPr>
              <w:spacing w:before="40" w:after="40" w:line="276" w:lineRule="auto"/>
              <w:jc w:val="left"/>
              <w:rPr>
                <w:rFonts w:hint="eastAsia"/>
              </w:rPr>
            </w:pPr>
            <w:r>
              <w:rPr>
                <w:rFonts w:ascii="Times New Roman" w:hAnsi="Times New Roman" w:cs="Times New Roman"/>
              </w:rPr>
              <w:t>确认虚拟扰动响应的方向在不同干预剂量下保持稳定</w:t>
            </w:r>
          </w:p>
        </w:tc>
      </w:tr>
      <w:tr w:rsidR="00DC087A" w14:paraId="066FF664" w14:textId="77777777">
        <w:tc>
          <w:tcPr>
            <w:tcW w:w="1400" w:type="pct"/>
            <w:tcBorders>
              <w:top w:val="nil"/>
              <w:left w:val="nil"/>
              <w:bottom w:val="single" w:sz="2" w:space="0" w:color="000000"/>
              <w:right w:val="nil"/>
            </w:tcBorders>
            <w:vAlign w:val="center"/>
          </w:tcPr>
          <w:p w14:paraId="4F094DB3" w14:textId="77777777" w:rsidR="00DC087A" w:rsidRDefault="00000000">
            <w:pPr>
              <w:spacing w:before="40" w:after="40" w:line="276" w:lineRule="auto"/>
              <w:jc w:val="left"/>
              <w:rPr>
                <w:rFonts w:hint="eastAsia"/>
              </w:rPr>
            </w:pPr>
            <w:r>
              <w:rPr>
                <w:rFonts w:ascii="Times New Roman" w:hAnsi="Times New Roman" w:cs="Times New Roman"/>
              </w:rPr>
              <w:t xml:space="preserve">Bootstrap </w:t>
            </w:r>
            <w:r>
              <w:rPr>
                <w:rFonts w:ascii="Times New Roman" w:hAnsi="Times New Roman" w:cs="Times New Roman"/>
              </w:rPr>
              <w:t>置信区间</w:t>
            </w:r>
          </w:p>
        </w:tc>
        <w:tc>
          <w:tcPr>
            <w:tcW w:w="3600" w:type="pct"/>
            <w:tcBorders>
              <w:top w:val="nil"/>
              <w:left w:val="nil"/>
              <w:bottom w:val="single" w:sz="2" w:space="0" w:color="000000"/>
              <w:right w:val="nil"/>
            </w:tcBorders>
            <w:vAlign w:val="center"/>
          </w:tcPr>
          <w:p w14:paraId="44C1EFFE" w14:textId="77777777" w:rsidR="00DC087A" w:rsidRDefault="00000000">
            <w:pPr>
              <w:spacing w:before="40" w:after="40" w:line="276" w:lineRule="auto"/>
              <w:jc w:val="left"/>
              <w:rPr>
                <w:rFonts w:hint="eastAsia"/>
              </w:rPr>
            </w:pPr>
            <w:r>
              <w:rPr>
                <w:rFonts w:ascii="Times New Roman" w:hAnsi="Times New Roman" w:cs="Times New Roman"/>
              </w:rPr>
              <w:t>量化患者级反事实响应的统计不确定性</w:t>
            </w:r>
          </w:p>
        </w:tc>
      </w:tr>
    </w:tbl>
    <w:p w14:paraId="71FA80F2" w14:textId="77777777" w:rsidR="00DC087A" w:rsidRDefault="00000000">
      <w:pPr>
        <w:pStyle w:val="2"/>
        <w:rPr>
          <w:rFonts w:hint="eastAsia"/>
        </w:rPr>
      </w:pPr>
      <w:r>
        <w:t>5.3 外部生物学验证</w:t>
      </w:r>
    </w:p>
    <w:p w14:paraId="2D0F0FA0" w14:textId="77777777" w:rsidR="00DC087A" w:rsidRDefault="00000000">
      <w:pPr>
        <w:spacing w:line="360" w:lineRule="auto"/>
        <w:ind w:firstLine="480"/>
        <w:rPr>
          <w:rFonts w:hint="eastAsia"/>
        </w:rPr>
      </w:pPr>
      <w:r>
        <w:rPr>
          <w:rFonts w:ascii="Times New Roman" w:hAnsi="Times New Roman" w:cs="Times New Roman"/>
        </w:rPr>
        <w:t>将</w:t>
      </w:r>
      <w:r>
        <w:rPr>
          <w:rFonts w:ascii="Times New Roman" w:hAnsi="Times New Roman" w:cs="Times New Roman"/>
        </w:rPr>
        <w:t xml:space="preserve"> Top </w:t>
      </w:r>
      <w:r>
        <w:rPr>
          <w:rFonts w:ascii="Times New Roman" w:hAnsi="Times New Roman" w:cs="Times New Roman"/>
        </w:rPr>
        <w:t>候选分子与</w:t>
      </w:r>
      <w:r>
        <w:rPr>
          <w:rFonts w:ascii="Times New Roman" w:hAnsi="Times New Roman" w:cs="Times New Roman"/>
        </w:rPr>
        <w:t xml:space="preserve"> KEGG</w:t>
      </w:r>
      <w:r>
        <w:rPr>
          <w:rFonts w:ascii="Times New Roman" w:hAnsi="Times New Roman" w:cs="Times New Roman"/>
        </w:rPr>
        <w:t>、</w:t>
      </w:r>
      <w:r>
        <w:rPr>
          <w:rFonts w:ascii="Times New Roman" w:hAnsi="Times New Roman" w:cs="Times New Roman"/>
        </w:rPr>
        <w:t>Reactome</w:t>
      </w:r>
      <w:r>
        <w:rPr>
          <w:rFonts w:ascii="Times New Roman" w:hAnsi="Times New Roman" w:cs="Times New Roman"/>
        </w:rPr>
        <w:t>、</w:t>
      </w:r>
      <w:r>
        <w:rPr>
          <w:rFonts w:ascii="Times New Roman" w:hAnsi="Times New Roman" w:cs="Times New Roman"/>
        </w:rPr>
        <w:t>GO</w:t>
      </w:r>
      <w:r>
        <w:rPr>
          <w:rFonts w:ascii="Times New Roman" w:hAnsi="Times New Roman" w:cs="Times New Roman"/>
        </w:rPr>
        <w:t>、</w:t>
      </w:r>
      <w:r>
        <w:rPr>
          <w:rFonts w:ascii="Times New Roman" w:hAnsi="Times New Roman" w:cs="Times New Roman"/>
        </w:rPr>
        <w:t xml:space="preserve">DisGeNET </w:t>
      </w:r>
      <w:r>
        <w:rPr>
          <w:rFonts w:ascii="Times New Roman" w:hAnsi="Times New Roman" w:cs="Times New Roman"/>
        </w:rPr>
        <w:t>及肝病相关数据库进行交叉比对，执行通路富集分析（</w:t>
      </w:r>
      <w:r>
        <w:rPr>
          <w:rFonts w:ascii="Times New Roman" w:hAnsi="Times New Roman" w:cs="Times New Roman"/>
        </w:rPr>
        <w:t>Enrichment Analysis</w:t>
      </w:r>
      <w:r>
        <w:rPr>
          <w:rFonts w:ascii="Times New Roman" w:hAnsi="Times New Roman" w:cs="Times New Roman"/>
        </w:rPr>
        <w:t>）。重点关注候选分子是否显著富集于以下</w:t>
      </w:r>
      <w:r>
        <w:rPr>
          <w:rFonts w:ascii="Times New Roman" w:hAnsi="Times New Roman" w:cs="Times New Roman"/>
        </w:rPr>
        <w:t xml:space="preserve"> ACLF </w:t>
      </w:r>
      <w:r>
        <w:rPr>
          <w:rFonts w:ascii="Times New Roman" w:hAnsi="Times New Roman" w:cs="Times New Roman"/>
        </w:rPr>
        <w:t>核心病理通路：炎症因子信号通路、补体系统、凝血级联反应、胆汁酸代谢、脂质代谢、氧化应激、细胞死亡、免疫细胞迁移、肝肾轴通路及器官衰竭相关通路。</w:t>
      </w:r>
    </w:p>
    <w:p w14:paraId="729278AF" w14:textId="77777777" w:rsidR="00DC087A" w:rsidRDefault="00000000">
      <w:pPr>
        <w:spacing w:line="360" w:lineRule="auto"/>
        <w:ind w:firstLine="480"/>
        <w:rPr>
          <w:rFonts w:hint="eastAsia"/>
        </w:rPr>
      </w:pPr>
      <w:r>
        <w:rPr>
          <w:rFonts w:ascii="Times New Roman" w:hAnsi="Times New Roman" w:cs="Times New Roman"/>
        </w:rPr>
        <w:t>外部验证结果不用于替代模型证据，而是用于提升候选分子的可信度并指导下游实验的优先级排序。</w:t>
      </w:r>
    </w:p>
    <w:p w14:paraId="58B36E2B" w14:textId="77777777" w:rsidR="00DC087A" w:rsidRDefault="00000000">
      <w:pPr>
        <w:pStyle w:val="1"/>
        <w:jc w:val="center"/>
        <w:rPr>
          <w:rFonts w:hint="eastAsia"/>
        </w:rPr>
      </w:pPr>
      <w:r>
        <w:t>六、预期产出</w:t>
      </w:r>
    </w:p>
    <w:p w14:paraId="681C463C" w14:textId="77777777" w:rsidR="00DC087A" w:rsidRDefault="00000000">
      <w:pPr>
        <w:spacing w:line="360" w:lineRule="auto"/>
        <w:ind w:firstLine="480"/>
        <w:rPr>
          <w:rFonts w:ascii="Times New Roman" w:hAnsi="Times New Roman" w:cs="Times New Roman"/>
        </w:rPr>
      </w:pPr>
      <w:r>
        <w:rPr>
          <w:rFonts w:ascii="Times New Roman" w:hAnsi="Times New Roman" w:cs="Times New Roman"/>
        </w:rPr>
        <w:t>本研究最终产出包括</w:t>
      </w:r>
      <w:r>
        <w:rPr>
          <w:rFonts w:ascii="Times New Roman" w:hAnsi="Times New Roman" w:cs="Times New Roman" w:hint="eastAsia"/>
        </w:rPr>
        <w:t>：</w:t>
      </w:r>
    </w:p>
    <w:p w14:paraId="392A44F7" w14:textId="77777777" w:rsidR="00DC087A" w:rsidRDefault="00DC087A">
      <w:pPr>
        <w:spacing w:line="360" w:lineRule="auto"/>
        <w:ind w:firstLine="480"/>
        <w:rPr>
          <w:rFonts w:ascii="Times New Roman" w:hAnsi="Times New Roman" w:cs="Times New Roman"/>
        </w:rPr>
      </w:pPr>
    </w:p>
    <w:tbl>
      <w:tblPr>
        <w:tblW w:w="5000" w:type="pct"/>
        <w:tblLayout w:type="fixed"/>
        <w:tblCellMar>
          <w:left w:w="10" w:type="dxa"/>
          <w:right w:w="10" w:type="dxa"/>
        </w:tblCellMar>
        <w:tblLook w:val="04A0" w:firstRow="1" w:lastRow="0" w:firstColumn="1" w:lastColumn="0" w:noHBand="0" w:noVBand="1"/>
      </w:tblPr>
      <w:tblGrid>
        <w:gridCol w:w="1188"/>
        <w:gridCol w:w="7118"/>
      </w:tblGrid>
      <w:tr w:rsidR="00DC087A" w14:paraId="70C53B7E" w14:textId="77777777">
        <w:trPr>
          <w:tblHeader/>
        </w:trPr>
        <w:tc>
          <w:tcPr>
            <w:tcW w:w="715" w:type="pct"/>
            <w:tcBorders>
              <w:top w:val="single" w:sz="2" w:space="0" w:color="000000"/>
              <w:left w:val="nil"/>
              <w:bottom w:val="single" w:sz="0" w:space="0" w:color="000000"/>
              <w:right w:val="nil"/>
            </w:tcBorders>
            <w:shd w:val="clear" w:color="auto" w:fill="D9E2F3"/>
            <w:vAlign w:val="center"/>
          </w:tcPr>
          <w:p w14:paraId="3DC87662" w14:textId="77777777" w:rsidR="00DC087A" w:rsidRDefault="00000000">
            <w:pPr>
              <w:spacing w:before="40" w:after="40" w:line="276" w:lineRule="auto"/>
              <w:jc w:val="center"/>
              <w:rPr>
                <w:rFonts w:hint="eastAsia"/>
              </w:rPr>
            </w:pPr>
            <w:r>
              <w:rPr>
                <w:rFonts w:ascii="Times New Roman" w:hAnsi="Times New Roman" w:cs="Times New Roman"/>
                <w:b/>
                <w:bCs/>
              </w:rPr>
              <w:t>序号</w:t>
            </w:r>
          </w:p>
        </w:tc>
        <w:tc>
          <w:tcPr>
            <w:tcW w:w="4284" w:type="pct"/>
            <w:tcBorders>
              <w:top w:val="single" w:sz="2" w:space="0" w:color="000000"/>
              <w:left w:val="nil"/>
              <w:bottom w:val="single" w:sz="0" w:space="0" w:color="000000"/>
              <w:right w:val="nil"/>
            </w:tcBorders>
            <w:shd w:val="clear" w:color="auto" w:fill="D9E2F3"/>
            <w:vAlign w:val="center"/>
          </w:tcPr>
          <w:p w14:paraId="3FACF2BC" w14:textId="77777777" w:rsidR="00DC087A" w:rsidRDefault="00000000">
            <w:pPr>
              <w:spacing w:before="40" w:after="40" w:line="276" w:lineRule="auto"/>
              <w:jc w:val="center"/>
              <w:rPr>
                <w:rFonts w:hint="eastAsia"/>
              </w:rPr>
            </w:pPr>
            <w:r>
              <w:rPr>
                <w:rFonts w:ascii="Times New Roman" w:hAnsi="Times New Roman" w:cs="Times New Roman"/>
                <w:b/>
                <w:bCs/>
              </w:rPr>
              <w:t>产出内容</w:t>
            </w:r>
          </w:p>
        </w:tc>
      </w:tr>
      <w:tr w:rsidR="00DC087A" w14:paraId="16A22314" w14:textId="77777777">
        <w:trPr>
          <w:trHeight w:val="567"/>
        </w:trPr>
        <w:tc>
          <w:tcPr>
            <w:tcW w:w="715" w:type="pct"/>
            <w:tcBorders>
              <w:top w:val="nil"/>
              <w:left w:val="nil"/>
              <w:bottom w:val="nil"/>
              <w:right w:val="nil"/>
            </w:tcBorders>
            <w:vAlign w:val="center"/>
          </w:tcPr>
          <w:p w14:paraId="36037260" w14:textId="77777777" w:rsidR="00DC087A" w:rsidRDefault="00000000">
            <w:pPr>
              <w:spacing w:before="40" w:after="40" w:line="276" w:lineRule="auto"/>
              <w:jc w:val="center"/>
              <w:rPr>
                <w:rFonts w:hint="eastAsia"/>
              </w:rPr>
            </w:pPr>
            <w:r>
              <w:rPr>
                <w:rFonts w:ascii="Times New Roman" w:hAnsi="Times New Roman" w:cs="Times New Roman"/>
              </w:rPr>
              <w:t>1</w:t>
            </w:r>
          </w:p>
        </w:tc>
        <w:tc>
          <w:tcPr>
            <w:tcW w:w="4284" w:type="pct"/>
            <w:tcBorders>
              <w:top w:val="nil"/>
              <w:left w:val="nil"/>
              <w:bottom w:val="nil"/>
              <w:right w:val="nil"/>
            </w:tcBorders>
            <w:vAlign w:val="center"/>
          </w:tcPr>
          <w:p w14:paraId="7B13888B" w14:textId="77777777" w:rsidR="00DC087A" w:rsidRDefault="00000000">
            <w:pPr>
              <w:spacing w:before="40" w:after="40" w:line="276" w:lineRule="auto"/>
              <w:jc w:val="left"/>
              <w:rPr>
                <w:rFonts w:hint="eastAsia"/>
              </w:rPr>
            </w:pPr>
            <w:r>
              <w:rPr>
                <w:rFonts w:ascii="Times New Roman" w:hAnsi="Times New Roman" w:cs="Times New Roman"/>
              </w:rPr>
              <w:t>定型后的</w:t>
            </w:r>
            <w:r>
              <w:rPr>
                <w:rFonts w:ascii="Times New Roman" w:hAnsi="Times New Roman" w:cs="Times New Roman"/>
              </w:rPr>
              <w:t xml:space="preserve"> ACLF outcome-in-SCM </w:t>
            </w:r>
            <w:r>
              <w:rPr>
                <w:rFonts w:ascii="Times New Roman" w:hAnsi="Times New Roman" w:cs="Times New Roman"/>
              </w:rPr>
              <w:t>多模态因果模型及完整训练产物</w:t>
            </w:r>
          </w:p>
        </w:tc>
      </w:tr>
      <w:tr w:rsidR="00DC087A" w14:paraId="5883AA68" w14:textId="77777777">
        <w:trPr>
          <w:trHeight w:val="567"/>
        </w:trPr>
        <w:tc>
          <w:tcPr>
            <w:tcW w:w="715" w:type="pct"/>
            <w:tcBorders>
              <w:top w:val="nil"/>
              <w:left w:val="nil"/>
              <w:bottom w:val="nil"/>
              <w:right w:val="nil"/>
            </w:tcBorders>
            <w:vAlign w:val="center"/>
          </w:tcPr>
          <w:p w14:paraId="463628B5" w14:textId="77777777" w:rsidR="00DC087A" w:rsidRDefault="00000000">
            <w:pPr>
              <w:spacing w:before="40" w:after="40" w:line="276" w:lineRule="auto"/>
              <w:jc w:val="center"/>
              <w:rPr>
                <w:rFonts w:hint="eastAsia"/>
              </w:rPr>
            </w:pPr>
            <w:r>
              <w:rPr>
                <w:rFonts w:ascii="Times New Roman" w:hAnsi="Times New Roman" w:cs="Times New Roman"/>
              </w:rPr>
              <w:t>2</w:t>
            </w:r>
          </w:p>
        </w:tc>
        <w:tc>
          <w:tcPr>
            <w:tcW w:w="4284" w:type="pct"/>
            <w:tcBorders>
              <w:top w:val="nil"/>
              <w:left w:val="nil"/>
              <w:bottom w:val="nil"/>
              <w:right w:val="nil"/>
            </w:tcBorders>
            <w:vAlign w:val="center"/>
          </w:tcPr>
          <w:p w14:paraId="5DDBBC77" w14:textId="77777777" w:rsidR="00DC087A" w:rsidRDefault="00000000">
            <w:pPr>
              <w:spacing w:before="40" w:after="40" w:line="276" w:lineRule="auto"/>
              <w:jc w:val="left"/>
              <w:rPr>
                <w:rFonts w:hint="eastAsia"/>
              </w:rPr>
            </w:pPr>
            <w:r>
              <w:rPr>
                <w:rFonts w:ascii="Times New Roman" w:hAnsi="Times New Roman" w:cs="Times New Roman"/>
              </w:rPr>
              <w:t>蛋白质与代谢物到临床结局的直接效应矩阵与排名表</w:t>
            </w:r>
          </w:p>
        </w:tc>
      </w:tr>
      <w:tr w:rsidR="00DC087A" w14:paraId="326DDF5C" w14:textId="77777777">
        <w:trPr>
          <w:trHeight w:val="567"/>
        </w:trPr>
        <w:tc>
          <w:tcPr>
            <w:tcW w:w="715" w:type="pct"/>
            <w:tcBorders>
              <w:top w:val="nil"/>
              <w:left w:val="nil"/>
              <w:bottom w:val="nil"/>
              <w:right w:val="nil"/>
            </w:tcBorders>
            <w:vAlign w:val="center"/>
          </w:tcPr>
          <w:p w14:paraId="3B3182A8" w14:textId="77777777" w:rsidR="00DC087A" w:rsidRDefault="00000000">
            <w:pPr>
              <w:spacing w:before="40" w:after="40" w:line="276" w:lineRule="auto"/>
              <w:jc w:val="center"/>
              <w:rPr>
                <w:rFonts w:hint="eastAsia"/>
              </w:rPr>
            </w:pPr>
            <w:r>
              <w:rPr>
                <w:rFonts w:ascii="Times New Roman" w:hAnsi="Times New Roman" w:cs="Times New Roman"/>
              </w:rPr>
              <w:t>3</w:t>
            </w:r>
          </w:p>
        </w:tc>
        <w:tc>
          <w:tcPr>
            <w:tcW w:w="4284" w:type="pct"/>
            <w:tcBorders>
              <w:top w:val="nil"/>
              <w:left w:val="nil"/>
              <w:bottom w:val="nil"/>
              <w:right w:val="nil"/>
            </w:tcBorders>
            <w:vAlign w:val="center"/>
          </w:tcPr>
          <w:p w14:paraId="5746986B" w14:textId="77777777" w:rsidR="00DC087A" w:rsidRDefault="00000000">
            <w:pPr>
              <w:spacing w:before="40" w:after="40" w:line="276" w:lineRule="auto"/>
              <w:jc w:val="left"/>
              <w:rPr>
                <w:rFonts w:hint="eastAsia"/>
              </w:rPr>
            </w:pPr>
            <w:r>
              <w:rPr>
                <w:rFonts w:ascii="Times New Roman" w:hAnsi="Times New Roman" w:cs="Times New Roman"/>
              </w:rPr>
              <w:t>包含间接路径传播的总效应矩阵与排名表</w:t>
            </w:r>
          </w:p>
        </w:tc>
      </w:tr>
      <w:tr w:rsidR="00DC087A" w14:paraId="6B89FF45" w14:textId="77777777">
        <w:trPr>
          <w:trHeight w:val="567"/>
        </w:trPr>
        <w:tc>
          <w:tcPr>
            <w:tcW w:w="715" w:type="pct"/>
            <w:tcBorders>
              <w:top w:val="nil"/>
              <w:left w:val="nil"/>
              <w:bottom w:val="nil"/>
              <w:right w:val="nil"/>
            </w:tcBorders>
            <w:vAlign w:val="center"/>
          </w:tcPr>
          <w:p w14:paraId="3E96B54D" w14:textId="77777777" w:rsidR="00DC087A" w:rsidRDefault="00000000">
            <w:pPr>
              <w:spacing w:before="40" w:after="40" w:line="276" w:lineRule="auto"/>
              <w:jc w:val="center"/>
              <w:rPr>
                <w:rFonts w:hint="eastAsia"/>
              </w:rPr>
            </w:pPr>
            <w:r>
              <w:rPr>
                <w:rFonts w:ascii="Times New Roman" w:hAnsi="Times New Roman" w:cs="Times New Roman"/>
              </w:rPr>
              <w:t>4</w:t>
            </w:r>
          </w:p>
        </w:tc>
        <w:tc>
          <w:tcPr>
            <w:tcW w:w="4284" w:type="pct"/>
            <w:tcBorders>
              <w:top w:val="nil"/>
              <w:left w:val="nil"/>
              <w:bottom w:val="nil"/>
              <w:right w:val="nil"/>
            </w:tcBorders>
            <w:vAlign w:val="center"/>
          </w:tcPr>
          <w:p w14:paraId="29D17386" w14:textId="77777777" w:rsidR="00DC087A" w:rsidRDefault="00000000">
            <w:pPr>
              <w:spacing w:before="40" w:after="40" w:line="276" w:lineRule="auto"/>
              <w:jc w:val="left"/>
              <w:rPr>
                <w:rFonts w:hint="eastAsia"/>
              </w:rPr>
            </w:pPr>
            <w:r>
              <w:rPr>
                <w:rFonts w:ascii="Times New Roman" w:hAnsi="Times New Roman" w:cs="Times New Roman"/>
              </w:rPr>
              <w:t xml:space="preserve">Top-K </w:t>
            </w:r>
            <w:r>
              <w:rPr>
                <w:rFonts w:ascii="Times New Roman" w:hAnsi="Times New Roman" w:cs="Times New Roman"/>
              </w:rPr>
              <w:t>候选分子的患者级虚拟扰动响应结果（含效应分布）</w:t>
            </w:r>
          </w:p>
        </w:tc>
      </w:tr>
      <w:tr w:rsidR="00DC087A" w14:paraId="62916A87" w14:textId="77777777">
        <w:trPr>
          <w:trHeight w:val="567"/>
        </w:trPr>
        <w:tc>
          <w:tcPr>
            <w:tcW w:w="715" w:type="pct"/>
            <w:tcBorders>
              <w:top w:val="nil"/>
              <w:left w:val="nil"/>
              <w:bottom w:val="nil"/>
              <w:right w:val="nil"/>
            </w:tcBorders>
            <w:vAlign w:val="center"/>
          </w:tcPr>
          <w:p w14:paraId="78B517CB" w14:textId="77777777" w:rsidR="00DC087A" w:rsidRDefault="00000000">
            <w:pPr>
              <w:spacing w:before="40" w:after="40" w:line="276" w:lineRule="auto"/>
              <w:jc w:val="center"/>
              <w:rPr>
                <w:rFonts w:hint="eastAsia"/>
              </w:rPr>
            </w:pPr>
            <w:r>
              <w:rPr>
                <w:rFonts w:ascii="Times New Roman" w:hAnsi="Times New Roman" w:cs="Times New Roman"/>
              </w:rPr>
              <w:t>5</w:t>
            </w:r>
          </w:p>
        </w:tc>
        <w:tc>
          <w:tcPr>
            <w:tcW w:w="4284" w:type="pct"/>
            <w:tcBorders>
              <w:top w:val="nil"/>
              <w:left w:val="nil"/>
              <w:bottom w:val="nil"/>
              <w:right w:val="nil"/>
            </w:tcBorders>
            <w:vAlign w:val="center"/>
          </w:tcPr>
          <w:p w14:paraId="5FF08251" w14:textId="77777777" w:rsidR="00DC087A" w:rsidRDefault="00000000">
            <w:pPr>
              <w:spacing w:before="40" w:after="40" w:line="276" w:lineRule="auto"/>
              <w:jc w:val="left"/>
              <w:rPr>
                <w:rFonts w:hint="eastAsia"/>
              </w:rPr>
            </w:pPr>
            <w:r>
              <w:rPr>
                <w:rFonts w:ascii="Times New Roman" w:hAnsi="Times New Roman" w:cs="Times New Roman"/>
              </w:rPr>
              <w:t>跨</w:t>
            </w:r>
            <w:r>
              <w:rPr>
                <w:rFonts w:ascii="Times New Roman" w:hAnsi="Times New Roman" w:cs="Times New Roman"/>
              </w:rPr>
              <w:t xml:space="preserve"> seed</w:t>
            </w:r>
            <w:r>
              <w:rPr>
                <w:rFonts w:ascii="Times New Roman" w:hAnsi="Times New Roman" w:cs="Times New Roman"/>
              </w:rPr>
              <w:t>、阈值敏感性、扰动幅度敏感性及</w:t>
            </w:r>
            <w:r>
              <w:rPr>
                <w:rFonts w:ascii="Times New Roman" w:hAnsi="Times New Roman" w:cs="Times New Roman"/>
              </w:rPr>
              <w:t xml:space="preserve"> Bootstrap </w:t>
            </w:r>
            <w:r>
              <w:rPr>
                <w:rFonts w:ascii="Times New Roman" w:hAnsi="Times New Roman" w:cs="Times New Roman"/>
              </w:rPr>
              <w:t>稳健性分析报告</w:t>
            </w:r>
          </w:p>
        </w:tc>
      </w:tr>
      <w:tr w:rsidR="00DC087A" w14:paraId="00A527D9" w14:textId="77777777">
        <w:trPr>
          <w:trHeight w:val="567"/>
        </w:trPr>
        <w:tc>
          <w:tcPr>
            <w:tcW w:w="715" w:type="pct"/>
            <w:tcBorders>
              <w:top w:val="nil"/>
              <w:left w:val="nil"/>
              <w:bottom w:val="nil"/>
              <w:right w:val="nil"/>
            </w:tcBorders>
            <w:vAlign w:val="center"/>
          </w:tcPr>
          <w:p w14:paraId="376AEFE7" w14:textId="77777777" w:rsidR="00DC087A" w:rsidRDefault="00000000">
            <w:pPr>
              <w:spacing w:before="40" w:after="40" w:line="276" w:lineRule="auto"/>
              <w:jc w:val="center"/>
              <w:rPr>
                <w:rFonts w:hint="eastAsia"/>
              </w:rPr>
            </w:pPr>
            <w:r>
              <w:rPr>
                <w:rFonts w:ascii="Times New Roman" w:hAnsi="Times New Roman" w:cs="Times New Roman"/>
              </w:rPr>
              <w:t>6</w:t>
            </w:r>
          </w:p>
        </w:tc>
        <w:tc>
          <w:tcPr>
            <w:tcW w:w="4284" w:type="pct"/>
            <w:tcBorders>
              <w:top w:val="nil"/>
              <w:left w:val="nil"/>
              <w:bottom w:val="nil"/>
              <w:right w:val="nil"/>
            </w:tcBorders>
            <w:vAlign w:val="center"/>
          </w:tcPr>
          <w:p w14:paraId="5438692F" w14:textId="77777777" w:rsidR="00DC087A" w:rsidRDefault="00000000">
            <w:pPr>
              <w:spacing w:before="40" w:after="40" w:line="276" w:lineRule="auto"/>
              <w:jc w:val="left"/>
              <w:rPr>
                <w:rFonts w:hint="eastAsia"/>
              </w:rPr>
            </w:pPr>
            <w:r>
              <w:rPr>
                <w:rFonts w:ascii="Times New Roman" w:hAnsi="Times New Roman" w:cs="Times New Roman"/>
              </w:rPr>
              <w:t xml:space="preserve">Top-30 ACLF </w:t>
            </w:r>
            <w:r>
              <w:rPr>
                <w:rFonts w:ascii="Times New Roman" w:hAnsi="Times New Roman" w:cs="Times New Roman"/>
              </w:rPr>
              <w:t>候选关键</w:t>
            </w:r>
            <w:r>
              <w:rPr>
                <w:rFonts w:ascii="Times New Roman" w:hAnsi="Times New Roman" w:cs="Times New Roman"/>
              </w:rPr>
              <w:t xml:space="preserve"> biomarker </w:t>
            </w:r>
            <w:r>
              <w:rPr>
                <w:rFonts w:ascii="Times New Roman" w:hAnsi="Times New Roman" w:cs="Times New Roman"/>
              </w:rPr>
              <w:t>清单</w:t>
            </w:r>
          </w:p>
        </w:tc>
      </w:tr>
      <w:tr w:rsidR="00DC087A" w14:paraId="1C634059" w14:textId="77777777">
        <w:trPr>
          <w:trHeight w:val="567"/>
        </w:trPr>
        <w:tc>
          <w:tcPr>
            <w:tcW w:w="715" w:type="pct"/>
            <w:tcBorders>
              <w:top w:val="nil"/>
              <w:left w:val="nil"/>
              <w:bottom w:val="nil"/>
              <w:right w:val="nil"/>
            </w:tcBorders>
            <w:vAlign w:val="center"/>
          </w:tcPr>
          <w:p w14:paraId="06EB9F5D" w14:textId="77777777" w:rsidR="00DC087A" w:rsidRDefault="00000000">
            <w:pPr>
              <w:spacing w:before="40" w:after="40" w:line="276" w:lineRule="auto"/>
              <w:jc w:val="center"/>
              <w:rPr>
                <w:rFonts w:hint="eastAsia"/>
              </w:rPr>
            </w:pPr>
            <w:r>
              <w:rPr>
                <w:rFonts w:ascii="Times New Roman" w:hAnsi="Times New Roman" w:cs="Times New Roman"/>
              </w:rPr>
              <w:t>7</w:t>
            </w:r>
          </w:p>
        </w:tc>
        <w:tc>
          <w:tcPr>
            <w:tcW w:w="4284" w:type="pct"/>
            <w:tcBorders>
              <w:top w:val="nil"/>
              <w:left w:val="nil"/>
              <w:bottom w:val="nil"/>
              <w:right w:val="nil"/>
            </w:tcBorders>
            <w:vAlign w:val="center"/>
          </w:tcPr>
          <w:p w14:paraId="6FAD09C7" w14:textId="77777777" w:rsidR="00DC087A" w:rsidRDefault="00000000">
            <w:pPr>
              <w:spacing w:before="40" w:after="40" w:line="276" w:lineRule="auto"/>
              <w:jc w:val="left"/>
              <w:rPr>
                <w:rFonts w:hint="eastAsia"/>
              </w:rPr>
            </w:pPr>
            <w:r>
              <w:rPr>
                <w:rFonts w:ascii="Times New Roman" w:hAnsi="Times New Roman" w:cs="Times New Roman"/>
              </w:rPr>
              <w:t>每个候选分子的机制解释卡片（含主要影响结局、效应方向、直接效应、总效应、反事实响应、稳定性证据、通路证据及文献证据）</w:t>
            </w:r>
          </w:p>
        </w:tc>
      </w:tr>
      <w:tr w:rsidR="00DC087A" w14:paraId="35C3E8BE" w14:textId="77777777">
        <w:trPr>
          <w:trHeight w:val="567"/>
        </w:trPr>
        <w:tc>
          <w:tcPr>
            <w:tcW w:w="715" w:type="pct"/>
            <w:tcBorders>
              <w:top w:val="nil"/>
              <w:left w:val="nil"/>
              <w:bottom w:val="single" w:sz="2" w:space="0" w:color="000000"/>
              <w:right w:val="nil"/>
            </w:tcBorders>
            <w:vAlign w:val="center"/>
          </w:tcPr>
          <w:p w14:paraId="1821D32A" w14:textId="77777777" w:rsidR="00DC087A" w:rsidRDefault="00000000">
            <w:pPr>
              <w:spacing w:before="40" w:after="40" w:line="276" w:lineRule="auto"/>
              <w:jc w:val="center"/>
              <w:rPr>
                <w:rFonts w:hint="eastAsia"/>
              </w:rPr>
            </w:pPr>
            <w:r>
              <w:rPr>
                <w:rFonts w:ascii="Times New Roman" w:hAnsi="Times New Roman" w:cs="Times New Roman"/>
              </w:rPr>
              <w:t>8</w:t>
            </w:r>
          </w:p>
        </w:tc>
        <w:tc>
          <w:tcPr>
            <w:tcW w:w="4284" w:type="pct"/>
            <w:tcBorders>
              <w:top w:val="nil"/>
              <w:left w:val="nil"/>
              <w:bottom w:val="single" w:sz="2" w:space="0" w:color="000000"/>
              <w:right w:val="nil"/>
            </w:tcBorders>
            <w:vAlign w:val="center"/>
          </w:tcPr>
          <w:p w14:paraId="2F07082B" w14:textId="77777777" w:rsidR="00DC087A" w:rsidRDefault="00000000">
            <w:pPr>
              <w:spacing w:before="40" w:after="40" w:line="276" w:lineRule="auto"/>
              <w:jc w:val="left"/>
              <w:rPr>
                <w:rFonts w:hint="eastAsia"/>
              </w:rPr>
            </w:pPr>
            <w:r>
              <w:rPr>
                <w:rFonts w:ascii="Times New Roman" w:hAnsi="Times New Roman" w:cs="Times New Roman"/>
              </w:rPr>
              <w:t>可用于论文结果部分的配套图表（因果图热图、</w:t>
            </w:r>
            <w:r>
              <w:rPr>
                <w:rFonts w:ascii="Times New Roman" w:hAnsi="Times New Roman" w:cs="Times New Roman"/>
              </w:rPr>
              <w:t xml:space="preserve">Top biomarker </w:t>
            </w:r>
            <w:r>
              <w:rPr>
                <w:rFonts w:ascii="Times New Roman" w:hAnsi="Times New Roman" w:cs="Times New Roman"/>
              </w:rPr>
              <w:t>条形图、扰动响应曲线、稳定性重叠率图、通路富集图及候选机制示意</w:t>
            </w:r>
            <w:r>
              <w:rPr>
                <w:rFonts w:ascii="Times New Roman" w:hAnsi="Times New Roman" w:cs="Times New Roman"/>
              </w:rPr>
              <w:lastRenderedPageBreak/>
              <w:t>图）</w:t>
            </w:r>
          </w:p>
        </w:tc>
      </w:tr>
    </w:tbl>
    <w:p w14:paraId="0E884C7D" w14:textId="77777777" w:rsidR="00DC087A" w:rsidRDefault="00000000">
      <w:pPr>
        <w:pStyle w:val="1"/>
        <w:jc w:val="center"/>
        <w:rPr>
          <w:rFonts w:hint="eastAsia"/>
        </w:rPr>
      </w:pPr>
      <w:r>
        <w:lastRenderedPageBreak/>
        <w:t>七、研究边界与局限性声明</w:t>
      </w:r>
    </w:p>
    <w:p w14:paraId="6FB965F6" w14:textId="77777777" w:rsidR="00DC087A" w:rsidRDefault="00000000">
      <w:pPr>
        <w:spacing w:line="360" w:lineRule="auto"/>
        <w:ind w:firstLine="480"/>
        <w:rPr>
          <w:rFonts w:hint="eastAsia"/>
        </w:rPr>
      </w:pPr>
      <w:r>
        <w:rPr>
          <w:rFonts w:ascii="Times New Roman" w:hAnsi="Times New Roman" w:cs="Times New Roman"/>
        </w:rPr>
        <w:t>本方案能够将现有模型产出从静态因果图扩展为面向</w:t>
      </w:r>
      <w:r>
        <w:rPr>
          <w:rFonts w:ascii="Times New Roman" w:hAnsi="Times New Roman" w:cs="Times New Roman"/>
        </w:rPr>
        <w:t xml:space="preserve"> ACLF </w:t>
      </w:r>
      <w:r>
        <w:rPr>
          <w:rFonts w:ascii="Times New Roman" w:hAnsi="Times New Roman" w:cs="Times New Roman"/>
        </w:rPr>
        <w:t>机制研究的候选</w:t>
      </w:r>
      <w:r>
        <w:rPr>
          <w:rFonts w:ascii="Times New Roman" w:hAnsi="Times New Roman" w:cs="Times New Roman"/>
        </w:rPr>
        <w:t xml:space="preserve"> biomarker </w:t>
      </w:r>
      <w:r>
        <w:rPr>
          <w:rFonts w:ascii="Times New Roman" w:hAnsi="Times New Roman" w:cs="Times New Roman"/>
        </w:rPr>
        <w:t>系统化挖掘流程，但其结论边界必须清晰界定：</w:t>
      </w:r>
    </w:p>
    <w:p w14:paraId="029FB30A" w14:textId="77777777" w:rsidR="00DC087A" w:rsidRDefault="00000000">
      <w:pPr>
        <w:spacing w:line="360" w:lineRule="auto"/>
        <w:rPr>
          <w:rFonts w:hint="eastAsia"/>
        </w:rPr>
      </w:pPr>
      <w:r>
        <w:rPr>
          <w:rFonts w:ascii="Times New Roman" w:hAnsi="Times New Roman" w:cs="Times New Roman"/>
        </w:rPr>
        <w:t xml:space="preserve">1. </w:t>
      </w:r>
      <w:r>
        <w:rPr>
          <w:rFonts w:ascii="Times New Roman" w:hAnsi="Times New Roman" w:cs="Times New Roman"/>
        </w:rPr>
        <w:t>线性近似的固有局限：</w:t>
      </w:r>
      <w:r>
        <w:rPr>
          <w:rFonts w:ascii="Times New Roman" w:hAnsi="Times New Roman" w:cs="Times New Roman"/>
        </w:rPr>
        <w:t xml:space="preserve">G = D × A × D^T </w:t>
      </w:r>
      <w:r>
        <w:rPr>
          <w:rFonts w:ascii="Times New Roman" w:hAnsi="Times New Roman" w:cs="Times New Roman"/>
        </w:rPr>
        <w:t>是潜变量因果结构经线性解码器投影到特征空间后的近似表示，而非直接从真实分子相互作用网络中推断的完整生物因果图。真实生物系统中可能存在的非线性交互效应未被本框架捕获。</w:t>
      </w:r>
    </w:p>
    <w:p w14:paraId="7378B65C" w14:textId="77777777" w:rsidR="00DC087A" w:rsidRDefault="00000000">
      <w:pPr>
        <w:spacing w:line="360" w:lineRule="auto"/>
        <w:rPr>
          <w:rFonts w:hint="eastAsia"/>
        </w:rPr>
      </w:pPr>
      <w:r>
        <w:rPr>
          <w:rFonts w:ascii="Times New Roman" w:hAnsi="Times New Roman" w:cs="Times New Roman"/>
        </w:rPr>
        <w:t xml:space="preserve">2. </w:t>
      </w:r>
      <w:r>
        <w:rPr>
          <w:rFonts w:ascii="Times New Roman" w:hAnsi="Times New Roman" w:cs="Times New Roman"/>
        </w:rPr>
        <w:t>反事实分析的模型内属性：患者级虚拟扰动属于模型内部的反事实推断，其结果反映的是模型学到的结构关系对干预的响应，不能直接等同于真实临床治疗效应。</w:t>
      </w:r>
    </w:p>
    <w:p w14:paraId="161426CC" w14:textId="77777777" w:rsidR="00DC087A" w:rsidRDefault="00000000">
      <w:pPr>
        <w:spacing w:line="360" w:lineRule="auto"/>
        <w:rPr>
          <w:rFonts w:hint="eastAsia"/>
        </w:rPr>
      </w:pPr>
      <w:r>
        <w:rPr>
          <w:rFonts w:ascii="Times New Roman" w:hAnsi="Times New Roman" w:cs="Times New Roman"/>
        </w:rPr>
        <w:t xml:space="preserve">3. </w:t>
      </w:r>
      <w:r>
        <w:rPr>
          <w:rFonts w:ascii="Times New Roman" w:hAnsi="Times New Roman" w:cs="Times New Roman"/>
        </w:rPr>
        <w:t>观测数据的内在约束：由于训练数据为观察性临床队列，模型学到的因果结构仍可能受到未观测混杂因素、有限样本量和系统性缺失模式的影响。因果图的可辨识性（</w:t>
      </w:r>
      <w:r>
        <w:rPr>
          <w:rFonts w:ascii="Times New Roman" w:hAnsi="Times New Roman" w:cs="Times New Roman"/>
        </w:rPr>
        <w:t>Identifiability</w:t>
      </w:r>
      <w:r>
        <w:rPr>
          <w:rFonts w:ascii="Times New Roman" w:hAnsi="Times New Roman" w:cs="Times New Roman"/>
        </w:rPr>
        <w:t>）在理论上无法完全保证。</w:t>
      </w:r>
    </w:p>
    <w:p w14:paraId="5CC541A8" w14:textId="77777777" w:rsidR="00DC087A" w:rsidRDefault="00000000">
      <w:pPr>
        <w:spacing w:line="360" w:lineRule="auto"/>
        <w:ind w:firstLine="480"/>
        <w:rPr>
          <w:rFonts w:hint="eastAsia"/>
        </w:rPr>
      </w:pPr>
      <w:r>
        <w:rPr>
          <w:rFonts w:ascii="Times New Roman" w:hAnsi="Times New Roman" w:cs="Times New Roman"/>
        </w:rPr>
        <w:t>因此，最终候选靶点应被审慎定义为</w:t>
      </w:r>
      <w:r>
        <w:rPr>
          <w:rFonts w:ascii="Times New Roman" w:hAnsi="Times New Roman" w:cs="Times New Roman"/>
        </w:rPr>
        <w:t>"</w:t>
      </w:r>
      <w:r>
        <w:rPr>
          <w:rFonts w:ascii="Times New Roman" w:hAnsi="Times New Roman" w:cs="Times New Roman"/>
        </w:rPr>
        <w:t>因果启发的</w:t>
      </w:r>
      <w:r>
        <w:rPr>
          <w:rFonts w:ascii="Times New Roman" w:hAnsi="Times New Roman" w:cs="Times New Roman"/>
        </w:rPr>
        <w:t xml:space="preserve"> ACLF </w:t>
      </w:r>
      <w:r>
        <w:rPr>
          <w:rFonts w:ascii="Times New Roman" w:hAnsi="Times New Roman" w:cs="Times New Roman"/>
        </w:rPr>
        <w:t>关键</w:t>
      </w:r>
      <w:r>
        <w:rPr>
          <w:rFonts w:ascii="Times New Roman" w:hAnsi="Times New Roman" w:cs="Times New Roman"/>
        </w:rPr>
        <w:t xml:space="preserve"> biomarker </w:t>
      </w:r>
      <w:r>
        <w:rPr>
          <w:rFonts w:ascii="Times New Roman" w:hAnsi="Times New Roman" w:cs="Times New Roman"/>
        </w:rPr>
        <w:t>候选</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虚拟扰动优先验证靶点</w:t>
      </w:r>
      <w:r>
        <w:rPr>
          <w:rFonts w:ascii="Times New Roman" w:hAnsi="Times New Roman" w:cs="Times New Roman"/>
        </w:rPr>
        <w:t>"</w:t>
      </w:r>
      <w:r>
        <w:rPr>
          <w:rFonts w:ascii="Times New Roman" w:hAnsi="Times New Roman" w:cs="Times New Roman"/>
        </w:rPr>
        <w:t>，而非已经被实验证实的治疗靶点。</w:t>
      </w:r>
    </w:p>
    <w:p w14:paraId="2084BF1C" w14:textId="77777777" w:rsidR="00DC087A" w:rsidRDefault="00000000">
      <w:pPr>
        <w:spacing w:line="360" w:lineRule="auto"/>
        <w:ind w:firstLine="480"/>
        <w:rPr>
          <w:rFonts w:hint="eastAsia"/>
        </w:rPr>
      </w:pPr>
      <w:r>
        <w:rPr>
          <w:rFonts w:ascii="Times New Roman" w:hAnsi="Times New Roman" w:cs="Times New Roman"/>
        </w:rPr>
        <w:t>在上述边界内，本方案具有明确的可行性和应用价值。它能够充分利用当前多模态因果</w:t>
      </w:r>
      <w:r>
        <w:rPr>
          <w:rFonts w:ascii="Times New Roman" w:hAnsi="Times New Roman" w:cs="Times New Roman"/>
        </w:rPr>
        <w:t xml:space="preserve"> VAE </w:t>
      </w:r>
      <w:r>
        <w:rPr>
          <w:rFonts w:ascii="Times New Roman" w:hAnsi="Times New Roman" w:cs="Times New Roman"/>
        </w:rPr>
        <w:t>的结构化优势，将蛋白质组、代谢组与临床结局有机连接为可解释的候选机制网络，并通过虚拟扰动模拟与多层验证，为</w:t>
      </w:r>
      <w:r>
        <w:rPr>
          <w:rFonts w:ascii="Times New Roman" w:hAnsi="Times New Roman" w:cs="Times New Roman"/>
        </w:rPr>
        <w:t xml:space="preserve"> ACLF </w:t>
      </w:r>
      <w:r>
        <w:rPr>
          <w:rFonts w:ascii="Times New Roman" w:hAnsi="Times New Roman" w:cs="Times New Roman"/>
        </w:rPr>
        <w:t>关键</w:t>
      </w:r>
      <w:r>
        <w:rPr>
          <w:rFonts w:ascii="Times New Roman" w:hAnsi="Times New Roman" w:cs="Times New Roman"/>
        </w:rPr>
        <w:t xml:space="preserve"> biomarker </w:t>
      </w:r>
      <w:r>
        <w:rPr>
          <w:rFonts w:ascii="Times New Roman" w:hAnsi="Times New Roman" w:cs="Times New Roman"/>
        </w:rPr>
        <w:t>挖掘提供更系统、更有方法论依据的下游产出。</w:t>
      </w:r>
    </w:p>
    <w:sectPr w:rsidR="00DC087A">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B51E2"/>
    <w:multiLevelType w:val="singleLevel"/>
    <w:tmpl w:val="58AB51E2"/>
    <w:lvl w:ilvl="0">
      <w:start w:val="1"/>
      <w:numFmt w:val="decimal"/>
      <w:lvlText w:val="%1."/>
      <w:lvlJc w:val="left"/>
      <w:pPr>
        <w:tabs>
          <w:tab w:val="left" w:pos="420"/>
        </w:tabs>
        <w:ind w:left="0" w:firstLine="0"/>
      </w:pPr>
      <w:rPr>
        <w:rFonts w:hint="default"/>
      </w:rPr>
    </w:lvl>
  </w:abstractNum>
  <w:num w:numId="1" w16cid:durableId="197795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87A"/>
    <w:rsid w:val="002163ED"/>
    <w:rsid w:val="003E2747"/>
    <w:rsid w:val="007303EA"/>
    <w:rsid w:val="00AA377E"/>
    <w:rsid w:val="00C54006"/>
    <w:rsid w:val="00CB1841"/>
    <w:rsid w:val="00CF7AB9"/>
    <w:rsid w:val="00DC087A"/>
    <w:rsid w:val="00FB7DAB"/>
    <w:rsid w:val="7B896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C983F"/>
  <w15:docId w15:val="{D7EE6626-FCF5-442A-8340-62CC2D2D2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4"/>
      <w:szCs w:val="24"/>
    </w:rPr>
  </w:style>
  <w:style w:type="paragraph" w:styleId="1">
    <w:name w:val="heading 1"/>
    <w:next w:val="a"/>
    <w:qFormat/>
    <w:pPr>
      <w:spacing w:before="400" w:after="200" w:line="360" w:lineRule="auto"/>
      <w:outlineLvl w:val="0"/>
    </w:pPr>
    <w:rPr>
      <w:rFonts w:ascii="黑体" w:eastAsia="黑体" w:hAnsi="黑体" w:cs="黑体"/>
      <w:b/>
      <w:bCs/>
      <w:color w:val="2F5597"/>
      <w:sz w:val="32"/>
      <w:szCs w:val="32"/>
    </w:rPr>
  </w:style>
  <w:style w:type="paragraph" w:styleId="2">
    <w:name w:val="heading 2"/>
    <w:next w:val="a"/>
    <w:qFormat/>
    <w:pPr>
      <w:spacing w:before="280" w:after="140" w:line="360" w:lineRule="auto"/>
      <w:outlineLvl w:val="1"/>
    </w:pPr>
    <w:rPr>
      <w:rFonts w:ascii="黑体" w:eastAsia="黑体" w:hAnsi="黑体" w:cs="黑体"/>
      <w:b/>
      <w:bCs/>
      <w:color w:val="2F5597"/>
      <w:sz w:val="28"/>
      <w:szCs w:val="28"/>
    </w:rPr>
  </w:style>
  <w:style w:type="paragraph" w:styleId="3">
    <w:name w:val="heading 3"/>
    <w:next w:val="a"/>
    <w:qFormat/>
    <w:pPr>
      <w:spacing w:before="200" w:after="100" w:line="360" w:lineRule="auto"/>
      <w:outlineLvl w:val="2"/>
    </w:pPr>
    <w:rPr>
      <w:rFonts w:ascii="黑体" w:eastAsia="黑体" w:hAnsi="黑体" w:cs="黑体"/>
      <w:b/>
      <w:bCs/>
      <w:color w:val="2F5597"/>
      <w:sz w:val="26"/>
      <w:szCs w:val="26"/>
    </w:rPr>
  </w:style>
  <w:style w:type="paragraph" w:styleId="4">
    <w:name w:val="heading 4"/>
    <w:next w:val="a"/>
    <w:qFormat/>
    <w:pPr>
      <w:outlineLvl w:val="3"/>
    </w:pPr>
    <w:rPr>
      <w:rFonts w:ascii="宋体" w:hAnsi="宋体" w:cs="宋体"/>
      <w:i/>
      <w:iCs/>
      <w:color w:val="2E74B5"/>
      <w:sz w:val="24"/>
      <w:szCs w:val="24"/>
    </w:rPr>
  </w:style>
  <w:style w:type="paragraph" w:styleId="5">
    <w:name w:val="heading 5"/>
    <w:next w:val="a"/>
    <w:qFormat/>
    <w:pPr>
      <w:outlineLvl w:val="4"/>
    </w:pPr>
    <w:rPr>
      <w:rFonts w:ascii="宋体" w:hAnsi="宋体" w:cs="宋体"/>
      <w:color w:val="2E74B5"/>
      <w:sz w:val="24"/>
      <w:szCs w:val="24"/>
    </w:rPr>
  </w:style>
  <w:style w:type="paragraph" w:styleId="6">
    <w:name w:val="heading 6"/>
    <w:next w:val="a"/>
    <w:qFormat/>
    <w:pPr>
      <w:outlineLvl w:val="5"/>
    </w:pPr>
    <w:rPr>
      <w:rFonts w:ascii="宋体" w:hAnsi="宋体" w:cs="宋体"/>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宋体" w:hAnsi="宋体" w:cs="宋体"/>
    </w:rPr>
  </w:style>
  <w:style w:type="paragraph" w:styleId="a5">
    <w:name w:val="footnote text"/>
    <w:link w:val="a6"/>
    <w:uiPriority w:val="99"/>
    <w:semiHidden/>
    <w:unhideWhenUsed/>
    <w:rPr>
      <w:rFonts w:ascii="宋体" w:hAnsi="宋体" w:cs="宋体"/>
    </w:rPr>
  </w:style>
  <w:style w:type="paragraph" w:styleId="a7">
    <w:name w:val="Normal (Web)"/>
    <w:basedOn w:val="a"/>
    <w:pPr>
      <w:spacing w:beforeAutospacing="1" w:afterAutospacing="1"/>
      <w:jc w:val="left"/>
    </w:pPr>
    <w:rPr>
      <w:rFonts w:cs="Times New Roman"/>
    </w:rPr>
  </w:style>
  <w:style w:type="paragraph" w:styleId="a8">
    <w:name w:val="Title"/>
    <w:qFormat/>
    <w:rPr>
      <w:rFonts w:ascii="宋体" w:hAnsi="宋体" w:cs="宋体"/>
      <w:sz w:val="56"/>
      <w:szCs w:val="56"/>
    </w:rPr>
  </w:style>
  <w:style w:type="character" w:styleId="a9">
    <w:name w:val="endnote reference"/>
    <w:uiPriority w:val="99"/>
    <w:semiHidden/>
    <w:unhideWhenUsed/>
    <w:rPr>
      <w:vertAlign w:val="superscript"/>
    </w:rPr>
  </w:style>
  <w:style w:type="character" w:styleId="aa">
    <w:name w:val="Hyperlink"/>
    <w:uiPriority w:val="99"/>
    <w:unhideWhenUsed/>
    <w:rPr>
      <w:color w:val="0563C1"/>
      <w:u w:val="single"/>
    </w:rPr>
  </w:style>
  <w:style w:type="character" w:styleId="ab">
    <w:name w:val="footnote reference"/>
    <w:uiPriority w:val="99"/>
    <w:semiHidden/>
    <w:unhideWhenUsed/>
    <w:rPr>
      <w:vertAlign w:val="superscript"/>
    </w:rPr>
  </w:style>
  <w:style w:type="paragraph" w:styleId="ac">
    <w:name w:val="List Paragraph"/>
    <w:qFormat/>
    <w:rPr>
      <w:rFonts w:ascii="宋体" w:hAnsi="宋体" w:cs="宋体"/>
      <w:sz w:val="24"/>
      <w:szCs w:val="24"/>
    </w:rPr>
  </w:style>
  <w:style w:type="character" w:customStyle="1" w:styleId="a6">
    <w:name w:val="脚注文本 字符"/>
    <w:link w:val="a5"/>
    <w:uiPriority w:val="99"/>
    <w:semiHidden/>
    <w:unhideWhenUsed/>
    <w:rPr>
      <w:sz w:val="20"/>
      <w:szCs w:val="20"/>
    </w:rPr>
  </w:style>
  <w:style w:type="character" w:customStyle="1" w:styleId="a4">
    <w:name w:val="尾注文本 字符"/>
    <w:link w:val="a3"/>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438</TotalTime>
  <Pages>9</Pages>
  <Words>1052</Words>
  <Characters>5999</Characters>
  <Application>Microsoft Office Word</Application>
  <DocSecurity>0</DocSecurity>
  <Lines>49</Lines>
  <Paragraphs>14</Paragraphs>
  <ScaleCrop>false</ScaleCrop>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胡韬 陈</cp:lastModifiedBy>
  <cp:revision>5</cp:revision>
  <dcterms:created xsi:type="dcterms:W3CDTF">2026-05-29T01:53:00Z</dcterms:created>
  <dcterms:modified xsi:type="dcterms:W3CDTF">2026-09-05T07:50:00Z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3f65d8105b0111f18000335300003353">
    <vt:lpwstr>CWMI3ksKoLFNHGZR79Qv01d72C3MqfKX1mjjM0l1Rz8WjXaAhlJfyc2LuSamwRADo/Ly/XIakoBEQvjHhuawnjm3w==</vt:lpwstr>
  </property>
  <property fmtid="{D5CDD505-2E9C-101B-9397-08002B2CF9AE}" pid="3" name="KSOProductBuildVer">
    <vt:lpwstr>2052-12.8.2.21555</vt:lpwstr>
  </property>
  <property fmtid="{D5CDD505-2E9C-101B-9397-08002B2CF9AE}" pid="4" name="ICV">
    <vt:lpwstr>A2F1D926AF5B4319918EDE3268834B2F_12</vt:lpwstr>
  </property>
</Properties>
</file>