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x[4]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Memory will be allocated for x according to 5 int’s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int (as of date) -&gt; 4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4x4 = 16 bytes will be allocated for x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←——————————————— RAM ————————————————————&gt;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←––––x[0] ––––&gt;←––––x[1] ––––&gt;←––––x[2] ––––&gt;←––––x[3] ––––&gt;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←—---------- Reserve for x  (16 Bytes for x[4] —-------------------------------&gt;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700 701 702 703 704 …………………………………………………….715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Address of x[0] - 700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Address of x[1] - 704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Address of x[2] - 708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Address of x[3] - 712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Technically there is no one by the name(s) of x[0]x[1]x[2] or x[3]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we use these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There isi actually address calculation theory will work here.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 for 1D array =  base address + (index x size of one element)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X[0] = 700 + (0x4) = 700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X[1] = 700 + (1x4) = 704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X[2] = 700 + (2x4) = 708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X[3] = 700 + (3x4) = 712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2D array : int x[3][4] 3 rows, 4 columns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Row major (whatever written in 1st brackets will be major it can be row or column)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X[3][4] it wil not make any shape like matrix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Addressing allocation will be linear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Memory will be allocated foir 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much? According to (row x column x size of one element)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(3x4) x 4 (int type) = 48 bytes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←———————————— Reserve for x  (48 Bytes for x[3][4]  ——————————&gt;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700    704     708      712      716       720      724     728       732     736      740      744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←––––– 0 index row ––––––&gt;←–––––––– 1st row ––––––&gt;←–––––––– 2nd row ––––––&gt;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2d Address calculation Formula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address + (RowIndex x number of columns x size of one element)  + columnIndex x size of one element)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X[0][0] = 700 + (0 x 4 x 4) + (0 x4) = 700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X[0][1] = 700 + (0 x 4 x 4) + (1 x4) = 704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X[0][2] = 700 + (0 x 4 x 4) + (2 x4) = 708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X[0][3] = 700 + (0 x 4 x 4) + (3 x4) = 712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X[1][0] = 700 + (1 x 4 x 4) + (0 x4) = 716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X[1][1] = 700 + (1 x 4 x 4) + (1 x4) = 720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X[1][2] = 700 + (1 x 4 x 4) + (2 x4) = 724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X[1][3] = 700 + (1 x 4 x 4) + (3 x4) = 728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X[2][0] = 700 + (2 x 4 x 4) + (0 x4) = 732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X[2][1] = 700 + (2 x 4 x 4) + (1 x4) = 736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X[2][2] = 700 + (2 x 4 x 4) + (2 x4) = 740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X[2][3] = 700 + (2 x 4 x 4) + (3 x4) = 744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