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4000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 cy="400050"/>
                    </a:xfrm>
                    <a:prstGeom prst="rect">
                      <a:avLst/>
                    </a:prstGeom>
                  </pic:spPr>
                </pic:pic>
              </a:graphicData>
            </a:graphic>
          </wp:inline>
        </w:drawing>
      </w:r>
      <w:r>
        <w:rPr>
          <w:b/>
          <w:bCs/>
          <w:color w:val="14264C"/>
          <w:sz w:val="18"/>
          <w:szCs w:val="18"/>
        </w:rPr>
        <w:t xml:space="preserve">   EDGE / ADRIAN WATKINS</w:t>
      </w:r>
    </w:p>
    <w:p>
      <w:pPr>
        <w:spacing w:after="90"/>
        <w:rPr>
          <w:color w:val="14264C"/>
          <w:sz w:val="16"/>
          <w:szCs w:val="16"/>
        </w:rPr>
      </w:pPr>
      <w:r>
        <w:rPr>
          <w:color w:val="14264C"/>
          <w:sz w:val="16"/>
          <w:szCs w:val="16"/>
        </w:rPr>
        <w:t xml:space="preserve">PRACTICAL WORKSHEET</w:t>
      </w:r>
    </w:p>
    <w:p>
      <w:pPr>
        <w:pStyle w:val="Heading1"/>
        <w:spacing w:after="90"/>
      </w:pPr>
      <w:r>
        <w:t xml:space="preserve">Work through your next decision</w:t>
      </w:r>
    </w:p>
    <w:p>
      <w:pPr>
        <w:spacing w:after="90"/>
      </w:pPr>
      <w:r>
        <w:t xml:space="preserve">Choose one real decision. Ideally, start at Evaluate and carry what you learn into each stage. You can enter any pillar for a specific need, then check that the earlier reasoning still holds.</w:t>
      </w:r>
    </w:p>
    <w:p>
      <w:pPr>
        <w:spacing w:after="60"/>
        <w:rPr>
          <w:b/>
          <w:bCs/>
        </w:rPr>
      </w:pPr>
      <w:r>
        <w:rPr>
          <w:b/>
          <w:bCs/>
        </w:rPr>
        <w:t xml:space="preserve">Decision: ________________________________________________________</w:t>
      </w:r>
    </w:p>
    <w:p>
      <w:pPr>
        <w:spacing w:after="60"/>
        <w:rPr>
          <w:b/>
          <w:bCs/>
        </w:rPr>
      </w:pPr>
      <w:r>
        <w:rPr>
          <w:b/>
          <w:bCs/>
        </w:rPr>
        <w:t xml:space="preserve">Owner: __________________  Decision needed by: __________________</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rPr>
        <w:tc>
          <w:tcPr>
            <w:tcW w:type="dxa" w:w="5000"/>
            <w:tcBorders>
              <w:top w:val="single" w:color="D89A55" w:sz="4"/>
              <w:left w:val="single" w:color="D4CCBE" w:sz="4"/>
              <w:bottom w:val="single" w:color="D4CCBE" w:sz="4"/>
              <w:right w:val="single" w:color="D4CCBE" w:sz="4"/>
            </w:tcBorders>
            <w:shd w:fill="F8F5ED" w:val="clear"/>
            <w:tcMar>
              <w:top w:type="dxa" w:w="150"/>
              <w:left w:type="dxa" w:w="180"/>
              <w:bottom w:type="dxa" w:w="150"/>
              <w:right w:type="dxa" w:w="180"/>
            </w:tcMar>
          </w:tcPr>
          <w:p>
            <w:pPr>
              <w:spacing w:after="90"/>
              <w:rPr>
                <w:color w:val="14264C"/>
                <w:sz w:val="16"/>
                <w:szCs w:val="16"/>
              </w:rPr>
            </w:pPr>
            <w:r>
              <w:rPr>
                <w:color w:val="14264C"/>
                <w:sz w:val="16"/>
                <w:szCs w:val="16"/>
              </w:rPr>
              <w:t xml:space="preserve">01 / Understand the situation</w:t>
            </w:r>
          </w:p>
          <w:p>
            <w:pPr>
              <w:pStyle w:val="Heading2"/>
              <w:spacing w:after="90"/>
            </w:pPr>
            <w:r>
              <w:t xml:space="preserve">Evaluate</w:t>
            </w:r>
          </w:p>
          <w:p>
            <w:pPr>
              <w:spacing w:after="90"/>
            </w:pPr>
            <w:r>
              <w:t xml:space="preserve">What is happening, who is affected, and what evidence supports your view? Separate what you know from what you assume.</w:t>
            </w:r>
          </w:p>
          <w:p>
            <w:pPr>
              <w:spacing w:after="60"/>
              <w:rPr>
                <w:b/>
                <w:bCs/>
              </w:rPr>
            </w:pPr>
            <w:r>
              <w:rPr>
                <w:b/>
                <w:bCs/>
              </w:rPr>
              <w:t xml:space="preserve">Evidence and source:</w:t>
            </w:r>
          </w:p>
          <w:p>
            <w:pPr>
              <w:spacing w:after="90"/>
              <w:rPr>
                <w:color w:val="A79C89"/>
              </w:rPr>
            </w:pPr>
            <w:r>
              <w:rPr>
                <w:color w:val="A79C89"/>
              </w:rPr>
              <w:t xml:space="preserve">________________________________</w:t>
            </w:r>
          </w:p>
          <w:p>
            <w:pPr>
              <w:spacing w:after="60"/>
              <w:rPr>
                <w:b/>
                <w:bCs/>
              </w:rPr>
            </w:pPr>
            <w:r>
              <w:rPr>
                <w:b/>
                <w:bCs/>
              </w:rPr>
              <w:t xml:space="preserve">Most important uncertainty to test:</w:t>
            </w:r>
          </w:p>
          <w:p>
            <w:pPr>
              <w:spacing w:after="90"/>
              <w:rPr>
                <w:color w:val="A79C89"/>
              </w:rPr>
            </w:pPr>
            <w:r>
              <w:rPr>
                <w:color w:val="A79C89"/>
              </w:rPr>
              <w:t xml:space="preserve">________________________________</w:t>
            </w:r>
          </w:p>
          <w:p>
            <w:pPr>
              <w:spacing w:after="90"/>
              <w:rPr>
                <w:color w:val="243244"/>
                <w:sz w:val="17"/>
                <w:szCs w:val="17"/>
              </w:rPr>
            </w:pPr>
            <w:r>
              <w:rPr>
                <w:color w:val="243244"/>
                <w:sz w:val="17"/>
                <w:szCs w:val="17"/>
              </w:rPr>
              <w:t xml:space="preserve">Carry forward: the need you are addressing and the evidence that matters.</w:t>
            </w:r>
          </w:p>
        </w:tc>
        <w:tc>
          <w:tcPr>
            <w:tcW w:type="dxa" w:w="5000"/>
            <w:tcBorders>
              <w:top w:val="single" w:color="D89A55" w:sz="4"/>
              <w:left w:val="single" w:color="D4CCBE" w:sz="4"/>
              <w:bottom w:val="single" w:color="D4CCBE" w:sz="4"/>
              <w:right w:val="single" w:color="D4CCBE" w:sz="4"/>
            </w:tcBorders>
            <w:shd w:fill="F8F5ED" w:val="clear"/>
            <w:tcMar>
              <w:top w:type="dxa" w:w="150"/>
              <w:left w:type="dxa" w:w="180"/>
              <w:bottom w:type="dxa" w:w="150"/>
              <w:right w:type="dxa" w:w="180"/>
            </w:tcMar>
          </w:tcPr>
          <w:p>
            <w:pPr>
              <w:spacing w:after="90"/>
              <w:rPr>
                <w:color w:val="14264C"/>
                <w:sz w:val="16"/>
                <w:szCs w:val="16"/>
              </w:rPr>
            </w:pPr>
            <w:r>
              <w:rPr>
                <w:color w:val="14264C"/>
                <w:sz w:val="16"/>
                <w:szCs w:val="16"/>
              </w:rPr>
              <w:t xml:space="preserve">02 / Choose a direction</w:t>
            </w:r>
          </w:p>
          <w:p>
            <w:pPr>
              <w:pStyle w:val="Heading2"/>
              <w:spacing w:after="90"/>
            </w:pPr>
            <w:r>
              <w:t xml:space="preserve">Define</w:t>
            </w:r>
          </w:p>
          <w:p>
            <w:pPr>
              <w:spacing w:after="90"/>
            </w:pPr>
            <w:r>
              <w:t xml:space="preserve">What outcome would make a useful difference? Compare realistic options, including keeping the current approach.</w:t>
            </w:r>
          </w:p>
          <w:p>
            <w:pPr>
              <w:spacing w:after="60"/>
              <w:rPr>
                <w:b/>
                <w:bCs/>
              </w:rPr>
            </w:pPr>
            <w:r>
              <w:rPr>
                <w:b/>
                <w:bCs/>
              </w:rPr>
              <w:t xml:space="preserve">Chosen approach and main trade-off:</w:t>
            </w:r>
          </w:p>
          <w:p>
            <w:pPr>
              <w:spacing w:after="90"/>
              <w:rPr>
                <w:color w:val="A79C89"/>
              </w:rPr>
            </w:pPr>
            <w:r>
              <w:rPr>
                <w:color w:val="A79C89"/>
              </w:rPr>
              <w:t xml:space="preserve">________________________________</w:t>
            </w:r>
          </w:p>
          <w:p>
            <w:pPr>
              <w:spacing w:after="60"/>
              <w:rPr>
                <w:b/>
                <w:bCs/>
              </w:rPr>
            </w:pPr>
            <w:r>
              <w:rPr>
                <w:b/>
                <w:bCs/>
              </w:rPr>
              <w:t xml:space="preserve">Success measure, baseline and target:</w:t>
            </w:r>
          </w:p>
          <w:p>
            <w:pPr>
              <w:spacing w:after="90"/>
              <w:rPr>
                <w:color w:val="A79C89"/>
              </w:rPr>
            </w:pPr>
            <w:r>
              <w:rPr>
                <w:color w:val="A79C89"/>
              </w:rPr>
              <w:t xml:space="preserve">________________________________</w:t>
            </w:r>
          </w:p>
          <w:p>
            <w:pPr>
              <w:spacing w:after="90"/>
              <w:rPr>
                <w:color w:val="243244"/>
                <w:sz w:val="17"/>
                <w:szCs w:val="17"/>
              </w:rPr>
            </w:pPr>
            <w:r>
              <w:rPr>
                <w:color w:val="243244"/>
                <w:sz w:val="17"/>
                <w:szCs w:val="17"/>
              </w:rPr>
              <w:t xml:space="preserve">Carry forward: a clear choice, the reason for it and what success means.</w:t>
            </w:r>
          </w:p>
        </w:tc>
      </w:tr>
      <w:tr>
        <w:trPr>
          <w:cantSplit/>
        </w:trPr>
        <w:tc>
          <w:tcPr>
            <w:tcW w:type="dxa" w:w="5000"/>
            <w:tcBorders>
              <w:top w:val="single" w:color="D89A55" w:sz="4"/>
              <w:left w:val="single" w:color="D4CCBE" w:sz="4"/>
              <w:bottom w:val="single" w:color="D4CCBE" w:sz="4"/>
              <w:right w:val="single" w:color="D4CCBE" w:sz="4"/>
            </w:tcBorders>
            <w:shd w:fill="F8F5ED" w:val="clear"/>
            <w:tcMar>
              <w:top w:type="dxa" w:w="150"/>
              <w:left w:type="dxa" w:w="180"/>
              <w:bottom w:type="dxa" w:w="150"/>
              <w:right w:type="dxa" w:w="180"/>
            </w:tcMar>
          </w:tcPr>
          <w:p>
            <w:pPr>
              <w:spacing w:after="90"/>
              <w:rPr>
                <w:color w:val="14264C"/>
                <w:sz w:val="16"/>
                <w:szCs w:val="16"/>
              </w:rPr>
            </w:pPr>
            <w:r>
              <w:rPr>
                <w:color w:val="14264C"/>
                <w:sz w:val="16"/>
                <w:szCs w:val="16"/>
              </w:rPr>
              <w:t xml:space="preserve">03 / Make responsible action possible</w:t>
            </w:r>
          </w:p>
          <w:p>
            <w:pPr>
              <w:pStyle w:val="Heading2"/>
              <w:spacing w:after="90"/>
            </w:pPr>
            <w:r>
              <w:t xml:space="preserve">Govern</w:t>
            </w:r>
          </w:p>
          <w:p>
            <w:pPr>
              <w:spacing w:after="90"/>
            </w:pPr>
            <w:r>
              <w:t xml:space="preserve">Who can decide and deliver? What proportionate checks, permissions or limits give them confidence to proceed?</w:t>
            </w:r>
          </w:p>
          <w:p>
            <w:pPr>
              <w:spacing w:after="60"/>
              <w:rPr>
                <w:b/>
                <w:bCs/>
              </w:rPr>
            </w:pPr>
            <w:r>
              <w:rPr>
                <w:b/>
                <w:bCs/>
              </w:rPr>
              <w:t xml:space="preserve">Decision owner, delivery owner and limits:</w:t>
            </w:r>
          </w:p>
          <w:p>
            <w:pPr>
              <w:spacing w:after="90"/>
              <w:rPr>
                <w:color w:val="A79C89"/>
              </w:rPr>
            </w:pPr>
            <w:r>
              <w:rPr>
                <w:color w:val="A79C89"/>
              </w:rPr>
              <w:t xml:space="preserve">________________________________</w:t>
            </w:r>
          </w:p>
          <w:p>
            <w:pPr>
              <w:spacing w:after="60"/>
              <w:rPr>
                <w:b/>
                <w:bCs/>
              </w:rPr>
            </w:pPr>
            <w:r>
              <w:rPr>
                <w:b/>
                <w:bCs/>
              </w:rPr>
              <w:t xml:space="preserve">When to pause, escalate or change course:</w:t>
            </w:r>
          </w:p>
          <w:p>
            <w:pPr>
              <w:spacing w:after="90"/>
              <w:rPr>
                <w:color w:val="A79C89"/>
              </w:rPr>
            </w:pPr>
            <w:r>
              <w:rPr>
                <w:color w:val="A79C89"/>
              </w:rPr>
              <w:t xml:space="preserve">________________________________</w:t>
            </w:r>
          </w:p>
          <w:p>
            <w:pPr>
              <w:spacing w:after="90"/>
              <w:rPr>
                <w:color w:val="243244"/>
                <w:sz w:val="17"/>
                <w:szCs w:val="17"/>
              </w:rPr>
            </w:pPr>
            <w:r>
              <w:rPr>
                <w:color w:val="243244"/>
                <w:sz w:val="17"/>
                <w:szCs w:val="17"/>
              </w:rPr>
              <w:t xml:space="preserve">Carry forward: clear authority and safeguards matched to the decision.</w:t>
            </w:r>
          </w:p>
        </w:tc>
        <w:tc>
          <w:tcPr>
            <w:tcW w:type="dxa" w:w="5000"/>
            <w:tcBorders>
              <w:top w:val="single" w:color="D89A55" w:sz="4"/>
              <w:left w:val="single" w:color="D4CCBE" w:sz="4"/>
              <w:bottom w:val="single" w:color="D4CCBE" w:sz="4"/>
              <w:right w:val="single" w:color="D4CCBE" w:sz="4"/>
            </w:tcBorders>
            <w:shd w:fill="F8F5ED" w:val="clear"/>
            <w:tcMar>
              <w:top w:type="dxa" w:w="150"/>
              <w:left w:type="dxa" w:w="180"/>
              <w:bottom w:type="dxa" w:w="150"/>
              <w:right w:type="dxa" w:w="180"/>
            </w:tcMar>
          </w:tcPr>
          <w:p>
            <w:pPr>
              <w:spacing w:after="90"/>
              <w:rPr>
                <w:color w:val="14264C"/>
                <w:sz w:val="16"/>
                <w:szCs w:val="16"/>
              </w:rPr>
            </w:pPr>
            <w:r>
              <w:rPr>
                <w:color w:val="14264C"/>
                <w:sz w:val="16"/>
                <w:szCs w:val="16"/>
              </w:rPr>
              <w:t xml:space="preserve">04 / Act and improve</w:t>
            </w:r>
          </w:p>
          <w:p>
            <w:pPr>
              <w:pStyle w:val="Heading2"/>
              <w:spacing w:after="90"/>
            </w:pPr>
            <w:r>
              <w:t xml:space="preserve">Elevate</w:t>
            </w:r>
          </w:p>
          <w:p>
            <w:pPr>
              <w:spacing w:after="90"/>
            </w:pPr>
            <w:r>
              <w:t xml:space="preserve">What is the smallest useful next action? Review the outcome against your measure and use the learning to improve the next decision.</w:t>
            </w:r>
          </w:p>
          <w:p>
            <w:pPr>
              <w:spacing w:after="60"/>
              <w:rPr>
                <w:b/>
                <w:bCs/>
              </w:rPr>
            </w:pPr>
            <w:r>
              <w:rPr>
                <w:b/>
                <w:bCs/>
              </w:rPr>
              <w:t xml:space="preserve">Next action, owner and date:</w:t>
            </w:r>
          </w:p>
          <w:p>
            <w:pPr>
              <w:spacing w:after="90"/>
              <w:rPr>
                <w:color w:val="A79C89"/>
              </w:rPr>
            </w:pPr>
            <w:r>
              <w:rPr>
                <w:color w:val="A79C89"/>
              </w:rPr>
              <w:t xml:space="preserve">________________________________</w:t>
            </w:r>
          </w:p>
          <w:p>
            <w:pPr>
              <w:spacing w:after="60"/>
              <w:rPr>
                <w:b/>
                <w:bCs/>
              </w:rPr>
            </w:pPr>
            <w:r>
              <w:rPr>
                <w:b/>
                <w:bCs/>
              </w:rPr>
              <w:t xml:space="preserve">Review date and evidence to collect:</w:t>
            </w:r>
          </w:p>
          <w:p>
            <w:pPr>
              <w:spacing w:after="90"/>
              <w:rPr>
                <w:color w:val="A79C89"/>
              </w:rPr>
            </w:pPr>
            <w:r>
              <w:rPr>
                <w:color w:val="A79C89"/>
              </w:rPr>
              <w:t xml:space="preserve">________________________________</w:t>
            </w:r>
          </w:p>
          <w:p>
            <w:pPr>
              <w:spacing w:after="90"/>
              <w:rPr>
                <w:color w:val="243244"/>
                <w:sz w:val="17"/>
                <w:szCs w:val="17"/>
              </w:rPr>
            </w:pPr>
            <w:r>
              <w:rPr>
                <w:color w:val="243244"/>
                <w:sz w:val="17"/>
                <w:szCs w:val="17"/>
              </w:rPr>
              <w:t xml:space="preserve">Carry forward: what to continue, adapt or stop, and which pillar to revisit.</w:t>
            </w:r>
          </w:p>
        </w:tc>
      </w:tr>
    </w:tbl>
    <w:p>
      <w:pPr>
        <w:spacing w:after="60" w:before="120"/>
      </w:pPr>
      <w:r>
        <w:t xml:space="preserve">Decision record: We will __________________ because __________________.</w:t>
      </w:r>
    </w:p>
    <w:p>
      <w:pPr>
        <w:spacing w:after="90"/>
      </w:pPr>
      <w:r>
        <w:t xml:space="preserve">We will review __________________ on __________________.</w:t>
      </w:r>
    </w:p>
    <w:p>
      <w:pPr>
        <w:spacing w:after="90"/>
        <w:rPr>
          <w:sz w:val="17"/>
          <w:szCs w:val="17"/>
        </w:rPr>
      </w:pPr>
      <w:r>
        <w:rPr>
          <w:sz w:val="17"/>
          <w:szCs w:val="17"/>
        </w:rPr>
        <w:t xml:space="preserve">AI tools can help compare options or sharpen your reasoning. Check their outputs against evidence and keep a person accountable for the decision.</w:t>
      </w:r>
    </w:p>
    <w:p>
      <w:pPr>
        <w:spacing w:after="80" w:before="100"/>
      </w:pPr>
      <w:hyperlink w:history="1" r:id="rId9siedj7cup_ydcibkzyth">
        <w:r>
          <w:rPr>
            <w:color w:val="14264C"/>
            <w:u w:val="single"/>
          </w:rPr>
          <w:t xml:space="preserve">Explore EDGE</w:t>
        </w:r>
      </w:hyperlink>
      <w:r>
        <w:t xml:space="preserve">   /   </w:t>
      </w:r>
      <w:hyperlink w:history="1" r:id="rIdisu8zncfx_su5cz6dfm6a">
        <w:r>
          <w:rPr>
            <w:color w:val="14264C"/>
            <w:u w:val="single"/>
          </w:rPr>
          <w:t xml:space="preserve">Supporting tools</w:t>
        </w:r>
      </w:hyperlink>
    </w:p>
    <w:p>
      <w:r>
        <w:br w:type="page"/>
      </w:r>
    </w:p>
    <w:p>
      <w:pPr>
        <w:spacing w:after="100"/>
      </w:pPr>
      <w:r>
        <w:drawing>
          <wp:inline distT="0" distB="0" distL="0" distR="0">
            <wp:extent cx="4000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 cy="400050"/>
                    </a:xfrm>
                    <a:prstGeom prst="rect">
                      <a:avLst/>
                    </a:prstGeom>
                  </pic:spPr>
                </pic:pic>
              </a:graphicData>
            </a:graphic>
          </wp:inline>
        </w:drawing>
      </w:r>
      <w:r>
        <w:rPr>
          <w:b/>
          <w:bCs/>
          <w:color w:val="14264C"/>
          <w:sz w:val="18"/>
          <w:szCs w:val="18"/>
        </w:rPr>
        <w:t xml:space="preserve">   EDGE / ADRIAN WATKINS</w:t>
      </w:r>
    </w:p>
    <w:p>
      <w:pPr>
        <w:spacing w:after="90"/>
        <w:rPr>
          <w:color w:val="14264C"/>
          <w:sz w:val="16"/>
          <w:szCs w:val="16"/>
        </w:rPr>
      </w:pPr>
      <w:r>
        <w:rPr>
          <w:color w:val="14264C"/>
          <w:sz w:val="16"/>
          <w:szCs w:val="16"/>
        </w:rPr>
        <w:t xml:space="preserve">ILLUSTRATIVE EXAMPLE / NOT A REPORTED CLIENT OUTCOME</w:t>
      </w:r>
    </w:p>
    <w:p>
      <w:pPr>
        <w:pStyle w:val="Heading1"/>
        <w:spacing w:after="90"/>
      </w:pPr>
      <w:r>
        <w:t xml:space="preserve">A clearer handover from sales to delivery</w:t>
      </w:r>
    </w:p>
    <w:p>
      <w:pPr>
        <w:spacing w:after="90"/>
      </w:pPr>
      <w:r>
        <w:t xml:space="preserve">The decision: Should a small services team introduce a shared handover checklist?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rPr>
        <w:tc>
          <w:tcPr>
            <w:tcW w:type="dxa" w:w="5000"/>
            <w:tcBorders>
              <w:top w:val="single" w:color="D89A55" w:sz="4"/>
              <w:left w:val="single" w:color="D4CCBE" w:sz="4"/>
              <w:bottom w:val="single" w:color="D4CCBE" w:sz="4"/>
              <w:right w:val="single" w:color="D4CCBE" w:sz="4"/>
            </w:tcBorders>
            <w:shd w:fill="F8F5ED" w:val="clear"/>
            <w:tcMar>
              <w:top w:type="dxa" w:w="150"/>
              <w:left w:type="dxa" w:w="180"/>
              <w:bottom w:type="dxa" w:w="150"/>
              <w:right w:type="dxa" w:w="180"/>
            </w:tcMar>
          </w:tcPr>
          <w:p>
            <w:pPr>
              <w:spacing w:after="90"/>
              <w:rPr>
                <w:color w:val="14264C"/>
                <w:sz w:val="16"/>
                <w:szCs w:val="16"/>
              </w:rPr>
            </w:pPr>
            <w:r>
              <w:rPr>
                <w:color w:val="14264C"/>
                <w:sz w:val="16"/>
                <w:szCs w:val="16"/>
              </w:rPr>
              <w:t xml:space="preserve">01 / IN PRACTICE</w:t>
            </w:r>
          </w:p>
          <w:p>
            <w:pPr>
              <w:pStyle w:val="Heading2"/>
              <w:spacing w:after="90"/>
            </w:pPr>
            <w:r>
              <w:t xml:space="preserve">Evaluate</w:t>
            </w:r>
          </w:p>
          <w:p>
            <w:pPr>
              <w:spacing w:after="90"/>
            </w:pPr>
            <w:r>
              <w:t xml:space="preserve">Reviewing 20 recent projects finds six that needed clarification after handover. Delivery staff identify missing scope and success criteria as recurring issues. The team still needs to test whether a checklist will help without adding unnecessary work.</w:t>
            </w:r>
          </w:p>
          <w:p>
            <w:pPr>
              <w:spacing w:after="90"/>
              <w:rPr>
                <w:color w:val="243244"/>
                <w:sz w:val="17"/>
                <w:szCs w:val="17"/>
              </w:rPr>
            </w:pPr>
            <w:r>
              <w:rPr>
                <w:color w:val="243244"/>
                <w:sz w:val="17"/>
                <w:szCs w:val="17"/>
              </w:rPr>
              <w:t xml:space="preserve">Carry forward: reduce clarification, using the recent 20 projects as a starting baseline.</w:t>
            </w:r>
          </w:p>
        </w:tc>
        <w:tc>
          <w:tcPr>
            <w:tcW w:type="dxa" w:w="5000"/>
            <w:tcBorders>
              <w:top w:val="single" w:color="D89A55" w:sz="4"/>
              <w:left w:val="single" w:color="D4CCBE" w:sz="4"/>
              <w:bottom w:val="single" w:color="D4CCBE" w:sz="4"/>
              <w:right w:val="single" w:color="D4CCBE" w:sz="4"/>
            </w:tcBorders>
            <w:shd w:fill="F8F5ED" w:val="clear"/>
            <w:tcMar>
              <w:top w:type="dxa" w:w="150"/>
              <w:left w:type="dxa" w:w="180"/>
              <w:bottom w:type="dxa" w:w="150"/>
              <w:right w:type="dxa" w:w="180"/>
            </w:tcMar>
          </w:tcPr>
          <w:p>
            <w:pPr>
              <w:spacing w:after="90"/>
              <w:rPr>
                <w:color w:val="14264C"/>
                <w:sz w:val="16"/>
                <w:szCs w:val="16"/>
              </w:rPr>
            </w:pPr>
            <w:r>
              <w:rPr>
                <w:color w:val="14264C"/>
                <w:sz w:val="16"/>
                <w:szCs w:val="16"/>
              </w:rPr>
              <w:t xml:space="preserve">02 / IN PRACTICE</w:t>
            </w:r>
          </w:p>
          <w:p>
            <w:pPr>
              <w:pStyle w:val="Heading2"/>
              <w:spacing w:after="90"/>
            </w:pPr>
            <w:r>
              <w:t xml:space="preserve">Define</w:t>
            </w:r>
          </w:p>
          <w:p>
            <w:pPr>
              <w:spacing w:after="90"/>
            </w:pPr>
            <w:r>
              <w:t xml:space="preserve">Compare leaving the process unchanged, adding a long approval form, or testing five required handover fields. Choose the short checklist for a four-week trial. Target no more than three clarification cases in the next 20 projects, with under five minutes spent completing each checklist.</w:t>
            </w:r>
          </w:p>
          <w:p>
            <w:pPr>
              <w:spacing w:after="90"/>
              <w:rPr>
                <w:color w:val="243244"/>
                <w:sz w:val="17"/>
                <w:szCs w:val="17"/>
              </w:rPr>
            </w:pPr>
            <w:r>
              <w:rPr>
                <w:color w:val="243244"/>
                <w:sz w:val="17"/>
                <w:szCs w:val="17"/>
              </w:rPr>
              <w:t xml:space="preserve">Carry forward: a limited trial with a quality measure and a time constraint.</w:t>
            </w:r>
          </w:p>
        </w:tc>
      </w:tr>
      <w:tr>
        <w:trPr>
          <w:cantSplit/>
        </w:trPr>
        <w:tc>
          <w:tcPr>
            <w:tcW w:type="dxa" w:w="5000"/>
            <w:tcBorders>
              <w:top w:val="single" w:color="D89A55" w:sz="4"/>
              <w:left w:val="single" w:color="D4CCBE" w:sz="4"/>
              <w:bottom w:val="single" w:color="D4CCBE" w:sz="4"/>
              <w:right w:val="single" w:color="D4CCBE" w:sz="4"/>
            </w:tcBorders>
            <w:shd w:fill="F8F5ED" w:val="clear"/>
            <w:tcMar>
              <w:top w:type="dxa" w:w="150"/>
              <w:left w:type="dxa" w:w="180"/>
              <w:bottom w:type="dxa" w:w="150"/>
              <w:right w:type="dxa" w:w="180"/>
            </w:tcMar>
          </w:tcPr>
          <w:p>
            <w:pPr>
              <w:spacing w:after="90"/>
              <w:rPr>
                <w:color w:val="14264C"/>
                <w:sz w:val="16"/>
                <w:szCs w:val="16"/>
              </w:rPr>
            </w:pPr>
            <w:r>
              <w:rPr>
                <w:color w:val="14264C"/>
                <w:sz w:val="16"/>
                <w:szCs w:val="16"/>
              </w:rPr>
              <w:t xml:space="preserve">03 / IN PRACTICE</w:t>
            </w:r>
          </w:p>
          <w:p>
            <w:pPr>
              <w:pStyle w:val="Heading2"/>
              <w:spacing w:after="90"/>
            </w:pPr>
            <w:r>
              <w:t xml:space="preserve">Govern</w:t>
            </w:r>
          </w:p>
          <w:p>
            <w:pPr>
              <w:spacing w:after="90"/>
            </w:pPr>
            <w:r>
              <w:t xml:space="preserve">The operations lead owns the trial. The salesperson completes the checklist and the delivery lead accepts it. Missing client permissions or an unresolved scope commitment require a decision before work starts. Routine handovers do not need another senior approval.</w:t>
            </w:r>
          </w:p>
          <w:p>
            <w:pPr>
              <w:spacing w:after="90"/>
              <w:rPr>
                <w:color w:val="243244"/>
                <w:sz w:val="17"/>
                <w:szCs w:val="17"/>
              </w:rPr>
            </w:pPr>
            <w:r>
              <w:rPr>
                <w:color w:val="243244"/>
                <w:sz w:val="17"/>
                <w:szCs w:val="17"/>
              </w:rPr>
              <w:t xml:space="preserve">Carry forward: named owners, a simple acceptance point and clear exceptions.</w:t>
            </w:r>
          </w:p>
        </w:tc>
        <w:tc>
          <w:tcPr>
            <w:tcW w:type="dxa" w:w="5000"/>
            <w:tcBorders>
              <w:top w:val="single" w:color="D89A55" w:sz="4"/>
              <w:left w:val="single" w:color="D4CCBE" w:sz="4"/>
              <w:bottom w:val="single" w:color="D4CCBE" w:sz="4"/>
              <w:right w:val="single" w:color="D4CCBE" w:sz="4"/>
            </w:tcBorders>
            <w:shd w:fill="F8F5ED" w:val="clear"/>
            <w:tcMar>
              <w:top w:type="dxa" w:w="150"/>
              <w:left w:type="dxa" w:w="180"/>
              <w:bottom w:type="dxa" w:w="150"/>
              <w:right w:type="dxa" w:w="180"/>
            </w:tcMar>
          </w:tcPr>
          <w:p>
            <w:pPr>
              <w:spacing w:after="90"/>
              <w:rPr>
                <w:color w:val="14264C"/>
                <w:sz w:val="16"/>
                <w:szCs w:val="16"/>
              </w:rPr>
            </w:pPr>
            <w:r>
              <w:rPr>
                <w:color w:val="14264C"/>
                <w:sz w:val="16"/>
                <w:szCs w:val="16"/>
              </w:rPr>
              <w:t xml:space="preserve">04 / IN PRACTICE</w:t>
            </w:r>
          </w:p>
          <w:p>
            <w:pPr>
              <w:pStyle w:val="Heading2"/>
              <w:spacing w:after="90"/>
            </w:pPr>
            <w:r>
              <w:t xml:space="preserve">Elevate</w:t>
            </w:r>
          </w:p>
          <w:p>
            <w:pPr>
              <w:spacing w:after="90"/>
            </w:pPr>
            <w:r>
              <w:t xml:space="preserve">Start with the next project. Review completion time and clarification cases weekly, then decide whether to keep, revise or stop the checklist. If the same gaps persist, revisit Evaluate to check whether pricing or product scope is the underlying cause.</w:t>
            </w:r>
          </w:p>
          <w:p>
            <w:pPr>
              <w:spacing w:after="90"/>
              <w:rPr>
                <w:color w:val="243244"/>
                <w:sz w:val="17"/>
                <w:szCs w:val="17"/>
              </w:rPr>
            </w:pPr>
            <w:r>
              <w:rPr>
                <w:color w:val="243244"/>
                <w:sz w:val="17"/>
                <w:szCs w:val="17"/>
              </w:rPr>
              <w:t xml:space="preserve">Carry forward: evidence from the trial, not an assumption that the checklist worked.</w:t>
            </w:r>
          </w:p>
        </w:tc>
      </w:tr>
    </w:tbl>
    <w:p>
      <w:pPr>
        <w:spacing w:after="80" w:before="100"/>
      </w:pPr>
      <w:hyperlink w:history="1" r:id="rIdaf0wnnu8h2v2vx7sgpmgs">
        <w:r>
          <w:rPr>
            <w:color w:val="14264C"/>
            <w:u w:val="single"/>
          </w:rPr>
          <w:t xml:space="preserve">Explore EDGE</w:t>
        </w:r>
      </w:hyperlink>
      <w:r>
        <w:t xml:space="preserve">   /   </w:t>
      </w:r>
      <w:hyperlink w:history="1" r:id="rIdpcutijdoa7kramkkrmpfm">
        <w:r>
          <w:rPr>
            <w:color w:val="14264C"/>
            <w:u w:val="single"/>
          </w:rPr>
          <w:t xml:space="preserve">Supporting tools</w:t>
        </w:r>
      </w:hyperlink>
    </w:p>
    <w:sectPr>
      <w:footerReference w:type="default" r:id="rId7"/>
      <w:pgSz w:w="11906" w:h="16838" w:orient="portrait"/>
      <w:pgMar w:top="650" w:right="950" w:bottom="6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EDGE by Adrian Watkins</w:t>
    </w:r>
    <w:r>
      <w:rPr>
        <w:sz w:val="16"/>
        <w:szCs w:val="16"/>
      </w:rPr>
      <w:t xml:space="preserve">   |   </w:t>
    </w:r>
    <w:r>
      <w:rPr>
        <w:sz w:val="16"/>
        <w:szCs w:val="16"/>
      </w:rPr>
      <w:fldChar w:fldCharType="begin"/>
      <w:instrText xml:space="preserve">PAGE</w:instrText>
      <w:fldChar w:fldCharType="separate"/>
      <w:fldChar w:fldCharType="end"/>
    </w:r>
    <w:r>
      <w:rPr>
        <w:sz w:val="16"/>
        <w:szCs w:val="16"/>
      </w:rPr>
      <w:t xml:space="preserve"> /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244"/>
        <w:sz w:val="19"/>
        <w:szCs w:val="19"/>
      </w:rPr>
    </w:rPrDefault>
    <w:pPrDefault>
      <w:pPr>
        <w:spacing w:line="24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0"/>
    </w:pPr>
    <w:rPr>
      <w:rFonts w:ascii="Georgia" w:cs="Georgia" w:eastAsia="Georgia" w:hAnsi="Georgia"/>
      <w:color w:val="14264C"/>
      <w:sz w:val="42"/>
      <w:szCs w:val="42"/>
    </w:rPr>
  </w:style>
  <w:style w:type="paragraph" w:styleId="Heading2">
    <w:name w:val="Heading 2"/>
    <w:basedOn w:val="Normal"/>
    <w:next w:val="Normal"/>
    <w:qFormat/>
    <w:pPr>
      <w:spacing w:after="90"/>
    </w:pPr>
    <w:rPr>
      <w:rFonts w:ascii="Georgia" w:cs="Georgia" w:eastAsia="Georgia" w:hAnsi="Georgia"/>
      <w:color w:val="14264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siedj7cup_ydcibkzyth" Type="http://schemas.openxmlformats.org/officeDocument/2006/relationships/hyperlink" Target="https://adrianwatkins.com/edge" TargetMode="External"/><Relationship Id="rIdisu8zncfx_su5cz6dfm6a" Type="http://schemas.openxmlformats.org/officeDocument/2006/relationships/hyperlink" Target="https://democratising.ai/tools" TargetMode="External"/><Relationship Id="rIdaf0wnnu8h2v2vx7sgpmgs" Type="http://schemas.openxmlformats.org/officeDocument/2006/relationships/hyperlink" Target="https://adrianwatkins.com/edge" TargetMode="External"/><Relationship Id="rIdpcutijdoa7kramkkrmpfm" Type="http://schemas.openxmlformats.org/officeDocument/2006/relationships/hyperlink" Target="https://democratising.ai/tools" TargetMode="External"/><Relationship Id="rId8" Type="http://schemas.openxmlformats.org/officeDocument/2006/relationships/image" Target="media/5b63d7a4423b2d4712bc9db2e40dbdaddc386f2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Decision Worksheet</dc:title>
  <dc:creator>Adrian Watkins</dc:creator>
  <cp:lastModifiedBy>Un-named</cp:lastModifiedBy>
  <cp:revision>1</cp:revision>
  <dcterms:created xsi:type="dcterms:W3CDTF">2026-09-10T15:31:41.058Z</dcterms:created>
  <dcterms:modified xsi:type="dcterms:W3CDTF">2026-09-10T15:31:41.065Z</dcterms:modified>
</cp:coreProperties>
</file>

<file path=docProps/custom.xml><?xml version="1.0" encoding="utf-8"?>
<Properties xmlns="http://schemas.openxmlformats.org/officeDocument/2006/custom-properties" xmlns:vt="http://schemas.openxmlformats.org/officeDocument/2006/docPropsVTypes"/>
</file>