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lang w:val="Spanish"/>
        </w:rPr>
        <w:t>Resumen de alta pediátrica</w:t>
      </w:r>
    </w:p>
    <w:p>
      <w:r>
        <w:rPr>
          <w:lang w:val="Spanish"/>
        </w:rPr>
        <w:t>Paciente: {patient_name} Fecha de nacimiento: {dob} MRN: {mrn}</w:t>
      </w:r>
    </w:p>
    <w:p>
      <w:r>
        <w:rPr>
          <w:lang w:val="Spanish"/>
        </w:rPr>
        <w:t>Fecha de alta: {discharge_date} Proveedor de alta: [PROVEEDOR]</w:t>
      </w:r>
    </w:p>
    <w:p>
      <w:pPr>
        <w:pStyle w:val="Heading2"/>
      </w:pPr>
      <w:r>
        <w:rPr>
          <w:lang w:val="Spanish"/>
        </w:rPr>
        <w:t>Diagnóstico</w:t>
      </w:r>
    </w:p>
    <w:p>
      <w:r>
        <w:rPr>
          <w:lang w:val="Spanish"/>
        </w:rPr>
        <w:t>otitis media aguda del oído derecho. El paciente también tiene antecedentes de asma leve y persistente.</w:t>
      </w:r>
    </w:p>
    <w:p>
      <w:pPr>
        <w:pStyle w:val="Heading2"/>
      </w:pPr>
      <w:r>
        <w:rPr>
          <w:lang w:val="Spanish"/>
        </w:rPr>
        <w:t>Medicamentos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rPr>
                <w:lang w:val="Spanish"/>
              </w:rPr>
              <w:t>Medicación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Dosis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Frecuencia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Notas</w:t>
            </w:r>
          </w:p>
        </w:tc>
      </w:tr>
      <w:tr>
        <w:tc>
          <w:tcPr>
            <w:tcW w:w="2160" w:type="dxa"/>
          </w:tcPr>
          <w:p>
            <w:r>
              <w:rPr>
                <w:lang w:val="Spanish"/>
              </w:rPr>
              <w:t>amoxicilina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400 mg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Dos veces al día durante 10 días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Lleva con comida.</w:t>
            </w:r>
          </w:p>
        </w:tc>
      </w:tr>
      <w:tr>
        <w:tc>
          <w:tcPr>
            <w:tcW w:w="2160" w:type="dxa"/>
          </w:tcPr>
          <w:p>
            <w:r>
              <w:rPr>
                <w:lang w:val="Spanish"/>
              </w:rPr>
              <w:t>Tylenol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10 mg/kg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Cada 4 horas según sea necesario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Para fiebre superior a 38,0 °C.</w:t>
            </w:r>
          </w:p>
        </w:tc>
      </w:tr>
      <w:tr>
        <w:tc>
          <w:tcPr>
            <w:tcW w:w="2160" w:type="dxa"/>
          </w:tcPr>
          <w:p>
            <w:r>
              <w:rPr>
                <w:lang w:val="Spanish"/>
              </w:rPr>
              <w:t>albuterol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2 caladas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Cada 4-6 horas según sea necesario</w:t>
            </w:r>
          </w:p>
        </w:tc>
        <w:tc>
          <w:tcPr>
            <w:tcW w:w="2160" w:type="dxa"/>
          </w:tcPr>
          <w:p>
            <w:r>
              <w:rPr>
                <w:lang w:val="Spanish"/>
              </w:rPr>
              <w:t>Usa espaciador.</w:t>
            </w:r>
          </w:p>
        </w:tc>
      </w:tr>
    </w:tbl>
    <w:p>
      <w:pPr>
        <w:pStyle w:val="Heading2"/>
      </w:pPr>
      <w:r>
        <w:rPr>
          <w:lang w:val="Spanish"/>
        </w:rPr>
        <w:t>Actividad</w:t>
      </w:r>
    </w:p>
    <w:p>
      <w:r>
        <w:rPr>
          <w:lang w:val="Spanish"/>
        </w:rPr>
        <w:t>Su hijo puede volver al colegio en las 24 horas siguientes a comenzar con amoxicilina si no tiene fiebre. Evita nadar o que el oído derecho te entre agua durante 7 días.</w:t>
      </w:r>
    </w:p>
    <w:p>
      <w:pPr>
        <w:pStyle w:val="Heading2"/>
      </w:pPr>
      <w:r>
        <w:rPr>
          <w:lang w:val="Spanish"/>
        </w:rPr>
        <w:t>Cuándo llamar al médico</w:t>
      </w:r>
    </w:p>
    <w:p>
      <w:r>
        <w:rPr>
          <w:lang w:val="Spanish"/>
        </w:rPr>
        <w:t>Llama a [CLINIC_PHONE] inmediatamente si: fiebre por encima de 39,0 °C dura más de 24 horas, tu hijo tiene dificultades para respirar, dolor intenso en el oído, drenaje de pus o sangre del oído, o tu hijo no bebe líquidos.</w:t>
      </w:r>
    </w:p>
    <w:p>
      <w:pPr>
        <w:pStyle w:val="Heading2"/>
      </w:pPr>
      <w:r>
        <w:rPr>
          <w:lang w:val="Spanish"/>
        </w:rPr>
        <w:t>Seguimiento</w:t>
      </w:r>
    </w:p>
    <w:p>
      <w:r>
        <w:rPr>
          <w:lang w:val="Spanish"/>
        </w:rPr>
        <w:t>Programa una visita de seguimiento con {pcp_name} dentro de 2 semanas. Lleva este resumen de alta y los frascos de medicación.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Generado por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