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Pediatric Discharge Summary</w:t>
      </w:r>
    </w:p>
    <w:p>
      <w:r>
        <w:t>Patient: {patient_name}    DOB: {dob}    MRN: {mrn}</w:t>
      </w:r>
    </w:p>
    <w:p>
      <w:r>
        <w:t>Discharge Date: {discharge_date}    Discharging Provider: [PROVIDER]</w:t>
      </w:r>
    </w:p>
    <w:p>
      <w:pPr>
        <w:pStyle w:val="Heading2"/>
      </w:pPr>
      <w:r>
        <w:t>Diagnosis</w:t>
      </w:r>
    </w:p>
    <w:p>
      <w:r>
        <w:t>Acute otitis media of the right ear. Patient also has a history of mild persistent asthma.</w:t>
      </w:r>
    </w:p>
    <w:p>
      <w:pPr>
        <w:pStyle w:val="Heading2"/>
      </w:pPr>
      <w:r>
        <w:t>Medications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Amoxicillin</w:t>
            </w:r>
          </w:p>
        </w:tc>
        <w:tc>
          <w:tcPr>
            <w:tcW w:type="dxa" w:w="2160"/>
          </w:tcPr>
          <w:p>
            <w:r>
              <w:t>400 mg</w:t>
            </w:r>
          </w:p>
        </w:tc>
        <w:tc>
          <w:tcPr>
            <w:tcW w:type="dxa" w:w="2160"/>
          </w:tcPr>
          <w:p>
            <w:r>
              <w:t>twice daily for 10 days</w:t>
            </w:r>
          </w:p>
        </w:tc>
        <w:tc>
          <w:tcPr>
            <w:tcW w:type="dxa" w:w="2160"/>
          </w:tcPr>
          <w:p>
            <w:r>
              <w:t>Take with food.</w:t>
            </w:r>
          </w:p>
        </w:tc>
      </w:tr>
      <w:tr>
        <w:tc>
          <w:tcPr>
            <w:tcW w:type="dxa" w:w="2160"/>
          </w:tcPr>
          <w:p>
            <w:r>
              <w:t>Tylenol</w:t>
            </w:r>
          </w:p>
        </w:tc>
        <w:tc>
          <w:tcPr>
            <w:tcW w:type="dxa" w:w="2160"/>
          </w:tcPr>
          <w:p>
            <w:r>
              <w:t>10 mg/kg</w:t>
            </w:r>
          </w:p>
        </w:tc>
        <w:tc>
          <w:tcPr>
            <w:tcW w:type="dxa" w:w="2160"/>
          </w:tcPr>
          <w:p>
            <w:r>
              <w:t>every 4 hours as needed</w:t>
            </w:r>
          </w:p>
        </w:tc>
        <w:tc>
          <w:tcPr>
            <w:tcW w:type="dxa" w:w="2160"/>
          </w:tcPr>
          <w:p>
            <w:r>
              <w:t>For fever above 38.0 °C.</w:t>
            </w:r>
          </w:p>
        </w:tc>
      </w:tr>
      <w:tr>
        <w:tc>
          <w:tcPr>
            <w:tcW w:type="dxa" w:w="2160"/>
          </w:tcPr>
          <w:p>
            <w:r>
              <w:t>Albuterol</w:t>
            </w:r>
          </w:p>
        </w:tc>
        <w:tc>
          <w:tcPr>
            <w:tcW w:type="dxa" w:w="2160"/>
          </w:tcPr>
          <w:p>
            <w:r>
              <w:t>2 puffs</w:t>
            </w:r>
          </w:p>
        </w:tc>
        <w:tc>
          <w:tcPr>
            <w:tcW w:type="dxa" w:w="2160"/>
          </w:tcPr>
          <w:p>
            <w:r>
              <w:t>every 4-6 hours as needed</w:t>
            </w:r>
          </w:p>
        </w:tc>
        <w:tc>
          <w:tcPr>
            <w:tcW w:type="dxa" w:w="2160"/>
          </w:tcPr>
          <w:p>
            <w:r>
              <w:t>Use spacer.</w:t>
            </w:r>
          </w:p>
        </w:tc>
      </w:tr>
    </w:tbl>
    <w:p>
      <w:pPr>
        <w:pStyle w:val="Heading2"/>
      </w:pPr>
      <w:r>
        <w:t>Activity</w:t>
      </w:r>
    </w:p>
    <w:p>
      <w:r>
        <w:t>Your child may return to school in 24 hours after starting Amoxicillin if fever-free. Avoid swimming or getting water in the right ear for 7 days.</w:t>
      </w:r>
    </w:p>
    <w:p>
      <w:pPr>
        <w:pStyle w:val="Heading2"/>
      </w:pPr>
      <w:r>
        <w:t>When to Call the Doctor</w:t>
      </w:r>
    </w:p>
    <w:p>
      <w:r>
        <w:t>Call [CLINIC_PHONE] right away if: fever above 39.0 °C lasts more than 24 hours, your child has trouble breathing, severe ear pain, drainage of pus or blood from the ear, or your child is not drinking fluids.</w:t>
      </w:r>
    </w:p>
    <w:p>
      <w:pPr>
        <w:pStyle w:val="Heading2"/>
      </w:pPr>
      <w:r>
        <w:t>Follow-Up</w:t>
      </w:r>
    </w:p>
    <w:p>
      <w:r>
        <w:t>Schedule a follow-up visit with {pcp_name} in 2 weeks. Bring this discharge summary and the medication bottles.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