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1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1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6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5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6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1">
            <w:r>
              <w:t xml:space="preserve">12.6 Cambio de técnico, ayudantes y calendario de obras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2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3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5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6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7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Calendario de obras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Quién estuvo en cada obra y qué se hizo cada día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 de clientes y proyectos.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1"/>
        <w:keepNext/>
        <w:spacing w:after="140" w:before="300"/>
      </w:pPr>
      <w:bookmarkStart w:name="_Toc11" w:id="1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3" w:id="13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4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6" w:id="1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6"/>
    </w:p>
    <w:p>
      <w:pPr>
        <w:pStyle w:val="Heading2"/>
        <w:keepNext/>
        <w:spacing w:after="90" w:before="200"/>
      </w:pPr>
      <w:bookmarkStart w:name="_Toc17" w:id="17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5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6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6.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1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7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1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2" w:id="2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2"/>
    </w:p>
    <w:p>
      <w:pPr>
        <w:pStyle w:val="Heading2"/>
        <w:keepNext/>
        <w:spacing w:after="90" w:before="200"/>
      </w:pPr>
      <w:bookmarkStart w:name="_Toc23" w:id="23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8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8.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9.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0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1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343525"/>
            <wp:effectExtent t="0" r="0" b="0" l="0"/>
            <wp:docPr id="12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Salidas de bodega de esta obra con su estado; «Pedir material a bodega» abre la salida con la obra puesta.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Materiales de la orden: lo entregado por bodega entra solo; lo demás se anota a mano.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Agregar lo que no sale de bodega (comprado directo para la obra).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están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salidas de bodega</w:t>
      </w:r>
      <w:r>
        <w:rPr>
          <w:rFonts w:ascii="Arial" w:cs="Arial" w:eastAsia="Arial" w:hAnsi="Arial"/>
          <w:sz w:val="21"/>
          <w:szCs w:val="21"/>
        </w:rPr>
        <w:t xml:space="preserve"> de la obra con su estado y el botón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Pedir material a bodega</w:t>
      </w:r>
      <w:r>
        <w:rPr>
          <w:rFonts w:ascii="Arial" w:cs="Arial" w:eastAsia="Arial" w:hAnsi="Arial"/>
          <w:sz w:val="21"/>
          <w:szCs w:val="21"/>
        </w:rPr>
        <w:t xml:space="preserve">, que abre la salida con la obra puesta y a nombre del técnico responsable (él marca «Lo llevo» al cargar la camioneta). Al terminar de elegir el material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enviar a autorizar</w:t>
      </w:r>
      <w:r>
        <w:rPr>
          <w:rFonts w:ascii="Arial" w:cs="Arial" w:eastAsia="Arial" w:hAnsi="Arial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el borrador</w:t>
      </w:r>
      <w:r>
        <w:rPr>
          <w:rFonts w:ascii="Arial" w:cs="Arial" w:eastAsia="Arial" w:hAnsi="Arial"/>
          <w:sz w:val="21"/>
          <w:szCs w:val="21"/>
        </w:rPr>
        <w:t xml:space="preserve"> para seguir después). Cada salida de la obra dice qué le falta: enviarla a autorizar, que la autorice otra persona (nunca quien la pidió), que bodega la entregue o que el técnico la cargue; y si le toca a quien la está viendo, aparece el botón para avanzarla (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a autorizar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Autorizar</w:t>
      </w:r>
      <w:r>
        <w:rPr>
          <w:rFonts w:ascii="Arial" w:cs="Arial" w:eastAsia="Arial" w:hAnsi="Arial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 en Salidas</w:t>
      </w:r>
      <w:r>
        <w:rPr>
          <w:rFonts w:ascii="Arial" w:cs="Arial" w:eastAsia="Arial" w:hAnsi="Arial"/>
          <w:sz w:val="21"/>
          <w:szCs w:val="21"/>
        </w:rPr>
        <w:t xml:space="preserve">). Lo que bodega entrega entra solo a la lista y no se puede quitar. Abajo se anota a mano solo lo que no sale de bodega, por ejemplo lo comprado directo para la obra.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3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4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5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1" w:id="3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2" w:id="32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6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16.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7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17.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18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19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0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1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2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6" w:id="3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6"/>
    </w:p>
    <w:p>
      <w:pPr>
        <w:pStyle w:val="Heading2"/>
        <w:keepNext/>
        <w:spacing w:after="90" w:before="200"/>
      </w:pPr>
      <w:bookmarkStart w:name="_Toc37" w:id="37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3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23.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8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3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4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24.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5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2" w:id="4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2"/>
    </w:p>
    <w:p>
      <w:pPr>
        <w:pStyle w:val="Heading2"/>
        <w:keepNext/>
        <w:spacing w:after="90" w:before="200"/>
      </w:pPr>
      <w:bookmarkStart w:name="_Toc43" w:id="43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3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6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5" w:id="4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6" w:id="46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8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referencia y solo se actualizan sus datos.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29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0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 La bodega se cuenta cada mes: si pasan 30 días desde el último conteo (o desde la carga del catálogo), quien administra la bodega recibe el aviso «Toca contar la bodega», una vez por mes.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1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 Lo que trae la lista llega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agrupado por sección</w:t>
      </w:r>
      <w:r>
        <w:rPr>
          <w:rFonts w:ascii="Arial" w:cs="Arial" w:eastAsia="Arial" w:hAnsi="Arial"/>
          <w:sz w:val="21"/>
          <w:szCs w:val="21"/>
        </w:rPr>
        <w:t xml:space="preserve"> y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Obligatorio</w:t>
      </w:r>
      <w:r>
        <w:rPr>
          <w:rFonts w:ascii="Arial" w:cs="Arial" w:eastAsia="Arial" w:hAnsi="Arial"/>
          <w:sz w:val="21"/>
          <w:szCs w:val="21"/>
        </w:rPr>
        <w:t xml:space="preserve"> en lo que sí o sí hay que llevar. Si se quita un obligatorio, la aplicación pide el motivo (por ejemplo, «ya hay en la camioneta»); el motivo queda en la orden, lo ve quien autoriza y se puede deshacer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Volver a agregarlo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</w:t>
      </w:r>
      <w:r>
        <w:rPr>
          <w:rFonts w:ascii="Arial" w:cs="Arial" w:eastAsia="Arial" w:hAnsi="Arial"/>
          <w:sz w:val="21"/>
          <w:szCs w:val="21"/>
        </w:rPr>
        <w:t xml:space="preserve"> y confirma cuánto sale de cada renglón (de 0 a lo pedido). Si no hay existencia suficiente, entrega lo que hay. Lo que no sale queda en la orden como faltante con su motivo («Bodega entregó 6 de 9», «No había existencia en bodega»). Lo entregado se descuenta de la bodega y se carga como material de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Cargar la camioneta:</w:t>
      </w:r>
      <w:r>
        <w:rPr>
          <w:rFonts w:ascii="Arial" w:cs="Arial" w:eastAsia="Arial" w:hAnsi="Arial"/>
          <w:sz w:val="21"/>
          <w:szCs w:val="21"/>
        </w:rPr>
        <w:t xml:space="preserve"> el técnico abre su orden entregada en el celular y marca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 llevo</w:t>
      </w:r>
      <w:r>
        <w:rPr>
          <w:rFonts w:ascii="Arial" w:cs="Arial" w:eastAsia="Arial" w:hAnsi="Arial"/>
          <w:sz w:val="21"/>
          <w:szCs w:val="21"/>
        </w:rPr>
        <w:t xml:space="preserve"> en cada cosa que sube. La orden dice cuánto va cargado y cuántos obligatorios faltan, para que no se quede nada. La marca se puede quitar si se equivocó.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43375"/>
                  <wp:effectExtent t="0" r="0" b="0" l="0"/>
                  <wp:docPr id="32" name="bodega_checklist" descr="Salida armada desde una lista (celular del técnico)" title="Salida armada desde una lista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32. Salida armada desde una lista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lista trae los renglones del tipo de trabajo, agrupados por sección.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 sección del trabajo: exterior, eléctrico, líneas, drenaje…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«Obligatorio»: si se quita, pide el motivo y quien autoriza lo ve.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600450"/>
                  <wp:effectExtent t="0" r="0" b="0" l="0"/>
                  <wp:docPr id="33" name="bodega_carga" descr="«Lo llevo»: la checklist al cargar la camioneta" title="«Lo llevo»: la checklist al cargar la camion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33. «Lo llevo»: la checklist al cargar la camioneta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Cuánto ya va en la camioneta y cuántos obligatorios faltan.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«Lo llevo»: se marca al subir cada cosa a la camioneta.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obligatorio va marcado para que no se quede.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4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abiertas, le resta lo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ya salió para cada obra</w:t>
      </w:r>
      <w:r>
        <w:rPr>
          <w:rFonts w:ascii="Arial" w:cs="Arial" w:eastAsia="Arial" w:hAnsi="Arial"/>
          <w:sz w:val="21"/>
          <w:szCs w:val="21"/>
        </w:rPr>
        <w:t xml:space="preserve"> (salidas de bodega y material del diario) y después lo que hay en bodega: lo que queda es lo que conviene comprar por adelantado. Una obra a medio surtir solo pide lo que le falta.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4" name="bodega_compras" descr="Compras sugeridas" title="Compras suger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34. Compras sugeridas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Lo que suman los presupuestos aprobados de las obras abiertas.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 que ya salió para esas obras: no se vuelve a comprar.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falta entregar menos lo que hay en bodega.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5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35.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el día del técnico responsable, con sus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ayudantes</w:t>
      </w:r>
      <w:r>
        <w:rPr>
          <w:rFonts w:ascii="Arial" w:cs="Arial" w:eastAsia="Arial" w:hAnsi="Arial"/>
          <w:sz w:val="21"/>
          <w:szCs w:val="21"/>
        </w:rPr>
        <w:t xml:space="preserve"> (los técnicos que fueron con él), horas, qué se hizo, hasta dónde se avanzó, qué material faltó, qué llevar al día siguiente y novedades. Cada jornada queda a nombre de quien la registró: solo él (o la oficina) la corrige.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2"/>
        <w:keepNext/>
        <w:spacing w:after="90" w:before="200"/>
      </w:pPr>
      <w:bookmarkStart w:name="_Toc51" w:id="51"/>
      <w:r>
        <w:rPr>
          <w:rFonts w:ascii="Arial" w:cs="Arial" w:eastAsia="Arial" w:hAnsi="Arial"/>
          <w:b/>
          <w:bCs/>
          <w:sz w:val="24"/>
          <w:szCs w:val="24"/>
        </w:rPr>
        <w:t xml:space="preserve">12.6 Cambio de técnico, ayudantes y calendario de obras</w:t>
      </w:r>
      <w:bookmarkEnd w:id="5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personal rota. Cada obra tiene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 técnico responsable</w:t>
      </w:r>
      <w:r>
        <w:rPr>
          <w:rFonts w:ascii="Arial" w:cs="Arial" w:eastAsia="Arial" w:hAnsi="Arial"/>
          <w:sz w:val="21"/>
          <w:szCs w:val="21"/>
        </w:rPr>
        <w:t xml:space="preserve">, y es el único técnico que la llena: evidencias, checklist, equipos, firmas, diario y pedidos de material.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Cambiar el técnico:</w:t>
      </w:r>
      <w:r>
        <w:rPr>
          <w:rFonts w:ascii="Arial" w:cs="Arial" w:eastAsia="Arial" w:hAnsi="Arial"/>
          <w:sz w:val="21"/>
          <w:szCs w:val="21"/>
        </w:rPr>
        <w:t xml:space="preserve">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, Administración elige el otro técnico, la fecha desde la que sigue (por defecto, hoy) y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Cambiar técnico</w:t>
      </w:r>
      <w:r>
        <w:rPr>
          <w:rFonts w:ascii="Arial" w:cs="Arial" w:eastAsia="Arial" w:hAnsi="Arial"/>
          <w:sz w:val="21"/>
          <w:szCs w:val="21"/>
        </w:rPr>
        <w:t xml:space="preserve">. El nuevo continúa donde el otro terminó. Ahí mismo queda el historial: quién estuvo, desde y hasta cuándo. Lo puede hacer quien tenga el permiso de despacho (`dispatch.manage`): hoy, el Administrador y Administración; para dárselo a otro rol, se agrega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El técnico anterior</w:t>
      </w:r>
      <w:r>
        <w:rPr>
          <w:rFonts w:ascii="Arial" w:cs="Arial" w:eastAsia="Arial" w:hAnsi="Arial"/>
          <w:sz w:val="21"/>
          <w:szCs w:val="21"/>
        </w:rPr>
        <w:t xml:space="preserve"> sigue viendo la obra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lectura</w:t>
      </w:r>
      <w:r>
        <w:rPr>
          <w:rFonts w:ascii="Arial" w:cs="Arial" w:eastAsia="Arial" w:hAnsi="Arial"/>
          <w:sz w:val="21"/>
          <w:szCs w:val="21"/>
        </w:rPr>
        <w:t xml:space="preserve">: lo que hizo él y lo que va haciendo el nuevo. No sube fotos, no marca el checklist, no registra jornadas ni pide material. En Proyectos la obra le aparece con «Solo lectura».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 que hizo cada uno es suyo:</w:t>
      </w:r>
      <w:r>
        <w:rPr>
          <w:rFonts w:ascii="Arial" w:cs="Arial" w:eastAsia="Arial" w:hAnsi="Arial"/>
          <w:sz w:val="21"/>
          <w:szCs w:val="21"/>
        </w:rPr>
        <w:t xml:space="preserve"> una línea del checklist que marcó un técnico no la desmarca otro, y una jornada solo la corrige quien la registró. La oficina sí puede corregir.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Ayudantes:</w:t>
      </w:r>
      <w:r>
        <w:rPr>
          <w:rFonts w:ascii="Arial" w:cs="Arial" w:eastAsia="Arial" w:hAnsi="Arial"/>
          <w:sz w:val="21"/>
          <w:szCs w:val="21"/>
        </w:rPr>
        <w:t xml:space="preserve"> al registrar la jornada, el responsable marca qué técnicos fueron con él. Los ayudantes ven la obra en solo lectura para saber a dónde ir y qué se está haciendo; no la llenan.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36" name="rotacion_solo_lectura" descr="Obra en solo lectura para el técnico anterior" title="Obra en solo lectura para el técnico anteri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36. Obra en solo lectura para el técnico anterior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Solo lectura: el responsable de hoy es otro técnico. Se ve todo, no se llena.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Calendario de obras</w:t>
      </w:r>
      <w:r>
        <w:rPr>
          <w:rFonts w:ascii="Arial" w:cs="Arial" w:eastAsia="Arial" w:hAnsi="Arial"/>
          <w:sz w:val="21"/>
          <w:szCs w:val="21"/>
        </w:rPr>
        <w:t xml:space="preserve"> (menú Operación de campo): por mes o por semana, cada jornada registrada con la obra, el técnico, sus ayudantes y hasta dónde se avanzó; punteado, el día en que un técnico toma una obra. Al tocar una entrada se abre la obra. La oficina ve todo y puede filtrar por técnico; el técnico ve lo suyo. En el celular se ve como lista por día.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571750"/>
            <wp:effectExtent t="0" r="0" b="0" l="0"/>
            <wp:docPr id="37" name="calendario_obras" descr="Calendario de obras" title="Calendario de ob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37. Calendario de obras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Moverse por meses o semanas; «Hoy» vuelve al día de hoy.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Ver el mes o la semana, y solo un técnico.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Una jornada del diario: la obra, el técnico (y sus ayudantes) y hasta dónde se avanzó.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Punteado: el día en que un técnico toma la obra.</w:t>
      </w:r>
    </w:p>
    <w:p>
      <w:pPr>
        <w:spacing w:after="120"/>
      </w:pPr>
    </w:p>
    <w:p>
      <w:pPr>
        <w:pStyle w:val="Heading1"/>
        <w:keepNext/>
        <w:spacing w:after="140" w:before="300"/>
      </w:pPr>
      <w:bookmarkStart w:name="_Toc52" w:id="5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2"/>
    </w:p>
    <w:p>
      <w:pPr>
        <w:pStyle w:val="Heading2"/>
        <w:keepNext/>
        <w:spacing w:after="90" w:before="200"/>
      </w:pPr>
      <w:bookmarkStart w:name="_Toc53" w:id="53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3"/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5" w:id="55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6" w:id="5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7" w:id="5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7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Planear de antemano qué técnico va cada día a una obra (hoy se ve lo que pasó y quién es el responsable).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254969da895480082760a0ad8b08488b4fa16af5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6cc28152dbb374ff7baabd742ec43d684144e13f.png"/><Relationship Id="rId12" Type="http://schemas.openxmlformats.org/officeDocument/2006/relationships/image" Target="media/d67e4e576c631a56d4acbaa0c5b786ba53ed71ec.png"/><Relationship Id="rId13" Type="http://schemas.openxmlformats.org/officeDocument/2006/relationships/image" Target="media/4e12f25063d3b657a7d7f2b09801841eb57bf372.png"/><Relationship Id="rId14" Type="http://schemas.openxmlformats.org/officeDocument/2006/relationships/image" Target="media/52fb0038bdbfea4459bc1b92f60dd11ff2748d3c.png"/><Relationship Id="rId15" Type="http://schemas.openxmlformats.org/officeDocument/2006/relationships/image" Target="media/48e283d1f506e94496aa734d44c5977ddfe81929.png"/><Relationship Id="rId16" Type="http://schemas.openxmlformats.org/officeDocument/2006/relationships/image" Target="media/01a269055c4de59f229c1bbef16219e746c7ce60.png"/><Relationship Id="rId17" Type="http://schemas.openxmlformats.org/officeDocument/2006/relationships/image" Target="media/7b3e3bcfefe07ed504d697ce6ce36a01489654d9.png"/><Relationship Id="rId18" Type="http://schemas.openxmlformats.org/officeDocument/2006/relationships/image" Target="media/bad5e846929d9a0ddc53ba5c16abfad23f858281.png"/><Relationship Id="rId19" Type="http://schemas.openxmlformats.org/officeDocument/2006/relationships/image" Target="media/46b1cf1dca7dd1cf18ca28501e427eebfba45014.png"/><Relationship Id="rId20" Type="http://schemas.openxmlformats.org/officeDocument/2006/relationships/image" Target="media/672c90f9f431b177deaa97790a015e214c5cece2.png"/><Relationship Id="rId21" Type="http://schemas.openxmlformats.org/officeDocument/2006/relationships/image" Target="media/4d7d7115085364dd2dde2f785f5fd63fad0f0a58.png"/><Relationship Id="rId22" Type="http://schemas.openxmlformats.org/officeDocument/2006/relationships/image" Target="media/9fc895aa0f4722d879c9219e444c59e8efca61ca.png"/><Relationship Id="rId23" Type="http://schemas.openxmlformats.org/officeDocument/2006/relationships/image" Target="media/92742f7779b09827653c32f4a0c60c9bd867467b.png"/><Relationship Id="rId24" Type="http://schemas.openxmlformats.org/officeDocument/2006/relationships/image" Target="media/a48f9cf03e37a27fd9a1b9e8eb414aebd94e31aa.png"/><Relationship Id="rId25" Type="http://schemas.openxmlformats.org/officeDocument/2006/relationships/image" Target="media/11298a1d157ac8e1fe1c2ac1a2d4c7f9167835a3.png"/><Relationship Id="rId26" Type="http://schemas.openxmlformats.org/officeDocument/2006/relationships/image" Target="media/5d5372c0da37222212a63224c425f2c95a644a9e.png"/><Relationship Id="rId27" Type="http://schemas.openxmlformats.org/officeDocument/2006/relationships/image" Target="media/db4c3dd4a85e5e26a9833a9358525e572e925a36.png"/><Relationship Id="rId28" Type="http://schemas.openxmlformats.org/officeDocument/2006/relationships/image" Target="media/916ec512c7066e60b9c264a284572fe17ff6af9e.png"/><Relationship Id="rId29" Type="http://schemas.openxmlformats.org/officeDocument/2006/relationships/image" Target="media/7f0c4c048624f7437e9bb5b5c3b9f48d6ec97f40.png"/><Relationship Id="rId30" Type="http://schemas.openxmlformats.org/officeDocument/2006/relationships/image" Target="media/a9e6203cdd06e1377ec0fe8b0afa56c1d6ebdb92.png"/><Relationship Id="rId31" Type="http://schemas.openxmlformats.org/officeDocument/2006/relationships/image" Target="media/e8b9049019cea309fbb47ccfca452f1ba63af506.png"/><Relationship Id="rId32" Type="http://schemas.openxmlformats.org/officeDocument/2006/relationships/image" Target="media/7d8aa83ac970efe89bbef1443646b7498be36be0.png"/><Relationship Id="rId33" Type="http://schemas.openxmlformats.org/officeDocument/2006/relationships/image" Target="media/f2329b82d504d99e5f609aafdb77cf2fed902ac8.png"/><Relationship Id="rId34" Type="http://schemas.openxmlformats.org/officeDocument/2006/relationships/image" Target="media/ba3f2bb90db51bea0f1bba71640355c2e7efb132.png"/><Relationship Id="rId35" Type="http://schemas.openxmlformats.org/officeDocument/2006/relationships/image" Target="media/4f97c8e7161da3f2bd0e85ddcf4bec2adfd21ec7.png"/><Relationship Id="rId36" Type="http://schemas.openxmlformats.org/officeDocument/2006/relationships/image" Target="media/e98c5042ba3483a723eaa3f02f115050aa287bb6.png"/><Relationship Id="rId37" Type="http://schemas.openxmlformats.org/officeDocument/2006/relationships/image" Target="media/02cc3669739374226444f3fabc83b5abaa038dd6.png"/><Relationship Id="rId38" Type="http://schemas.openxmlformats.org/officeDocument/2006/relationships/image" Target="media/5022215630fb2874fdbc4e471c9b4083ae52fda3.png"/><Relationship Id="rId39" Type="http://schemas.openxmlformats.org/officeDocument/2006/relationships/image" Target="media/28ad8a0505e4ee5acb3b85f62041b1e8d6db8aaf.png"/><Relationship Id="rId40" Type="http://schemas.openxmlformats.org/officeDocument/2006/relationships/image" Target="media/beb1cf8a283b35d721e75aa2b27344b1ad9d6fa3.png"/><Relationship Id="rId41" Type="http://schemas.openxmlformats.org/officeDocument/2006/relationships/image" Target="media/5be25b4b6e9b26ea2e4989cf11e14892d4797b2d.png"/><Relationship Id="rId42" Type="http://schemas.openxmlformats.org/officeDocument/2006/relationships/image" Target="media/8a12a61b67a0d2752b5d7342040089a3af814334.png"/><Relationship Id="rId43" Type="http://schemas.openxmlformats.org/officeDocument/2006/relationships/image" Target="media/eddb389fad156e228c0c680271d55e1d192a1475.png"/><Relationship Id="rId44" Type="http://schemas.openxmlformats.org/officeDocument/2006/relationships/image" Target="media/0649a3878bfae62728cfb9bf2b772dfdce33b953.pn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2026-10-24T22:14:51.080Z</dcterms:created>
  <dcterms:modified xsi:type="dcterms:W3CDTF">2026-10-24T22:14:51.080Z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