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15).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1">
            <w:r>
              <w:t xml:space="preserve">4.1 Buscador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3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3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1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2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6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7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2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3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5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6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1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2">
            <w:r>
              <w:t xml:space="preserve">12.6 Cambio de técnico, ayudantes y calendario de obras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3">
            <w:r>
              <w:t xml:space="preserve">13. Turnos, asistencia y mapa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13.1 Mi turno (todos los roles)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5">
            <w:r>
              <w:t xml:space="preserve">13.2 Malla de turnos (Administrador y Administración)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6">
            <w:r>
              <w:t xml:space="preserve">13.3 Panel de asistencia, novedades y nómina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7">
            <w:r>
              <w:t xml:space="preserve">13.4 Mapa operativo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8">
            <w:r>
              <w:t xml:space="preserve">13.5 De dónde sale el punto de la obra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9">
            <w:r>
              <w:t xml:space="preserve">14. Guía de pruebas sugerida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0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1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2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3">
            <w:r>
              <w:t xml:space="preserve">15. Cómo reportar un problema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4">
            <w:r>
              <w:t xml:space="preserve">16. Lo que todavía no hace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Calendario de obras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Quién estuvo en cada obra y qué se hizo cada día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Turnos y asistencia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turno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Iniciar y finalizar el turno, pausas, en camino, llegué y novedades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Malla de turnos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Programar turnos por persona y día; reglas, motivos y borrado de ubicaciones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Panel de asistencia · Novedades y horas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Indicadores del día; aprobar novedades, correcciones y horas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Nómina · Mapa operativo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 por período en Excel o PDF; personal y obras en el mapa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Buscador: clientes, expedientes, obras, facturas, artículos y más (ver 4.1).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2"/>
        <w:keepNext/>
        <w:spacing w:after="90" w:before="200"/>
      </w:pPr>
      <w:bookmarkStart w:name="_Toc11" w:id="11"/>
      <w:r>
        <w:rPr>
          <w:rFonts w:ascii="Arial" w:cs="Arial" w:eastAsia="Arial" w:hAnsi="Arial"/>
          <w:b/>
          <w:bCs/>
          <w:sz w:val="24"/>
          <w:szCs w:val="24"/>
        </w:rPr>
        <w:t xml:space="preserve">4.1 Buscador</w:t>
      </w:r>
      <w:bookmarkEnd w:id="1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caja de la barra superior busca en toda la plataforma con una sola palabra o parte de ella: nombre del cliente, dirección, número de expediente (CASE-…), de factura (FAC-…), de cotización o de salida de bodega (SAL-…), código de AC Pro, número del fabricante o marca de un artículo, proveedor o persona del equipo. Se necesitan al menos 2 letras.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puede ver:</w:t>
      </w:r>
      <w:r>
        <w:rPr>
          <w:rFonts w:ascii="Arial" w:cs="Arial" w:eastAsia="Arial" w:hAnsi="Arial"/>
          <w:sz w:val="21"/>
          <w:szCs w:val="21"/>
        </w:rPr>
        <w:t xml:space="preserve"> los resultados vienen por grupo (Clientes, Expedientes, Obras, Facturas, Cotizaciones, Artículos de bodega, Salidas de bodega, Proveedores, Usuarios) y cada grupo aparece solo si su rol abre esa pantalla. El vendedor encuentra solo sus expedientes y el técnico solo sus obras (las de hoy, las que tuvo antes y en las que fue ayudante) y sus salidas.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Abrir un resultado:</w:t>
      </w:r>
      <w:r>
        <w:rPr>
          <w:rFonts w:ascii="Arial" w:cs="Arial" w:eastAsia="Arial" w:hAnsi="Arial"/>
          <w:sz w:val="21"/>
          <w:szCs w:val="21"/>
        </w:rPr>
        <w:t xml:space="preserve"> tóquelo, o con el teclado use las flechas y Enter. Se muestran hasta 5 por grupo;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todos</w:t>
      </w:r>
      <w:r>
        <w:rPr>
          <w:rFonts w:ascii="Arial" w:cs="Arial" w:eastAsia="Arial" w:hAnsi="Arial"/>
          <w:sz w:val="21"/>
          <w:szCs w:val="21"/>
        </w:rPr>
        <w:t xml:space="preserve"> abre la lista completa de ese grupo ya filtrada con el mismo texto. Si de una factura buscada sale una sola, se abre su detalle de una vez.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Atajos:</w:t>
      </w:r>
      <w:r>
        <w:rPr>
          <w:rFonts w:ascii="Arial" w:cs="Arial" w:eastAsia="Arial" w:hAnsi="Arial"/>
          <w:sz w:val="21"/>
          <w:szCs w:val="21"/>
        </w:rPr>
        <w:t xml:space="preserve"> la tecla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/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Ctrl+K</w:t>
      </w:r>
      <w:r>
        <w:rPr>
          <w:rFonts w:ascii="Arial" w:cs="Arial" w:eastAsia="Arial" w:hAnsi="Arial"/>
          <w:sz w:val="21"/>
          <w:szCs w:val="21"/>
        </w:rPr>
        <w:t xml:space="preserve"> llevan al buscador desde cualquier pantalla;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Escape</w:t>
      </w:r>
      <w:r>
        <w:rPr>
          <w:rFonts w:ascii="Arial" w:cs="Arial" w:eastAsia="Arial" w:hAnsi="Arial"/>
          <w:sz w:val="21"/>
          <w:szCs w:val="21"/>
        </w:rPr>
        <w:t xml:space="preserve"> lo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la lupa junto a la campana abre el buscador a pantalla completa;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</w:t>
      </w:r>
      <w:r>
        <w:rPr>
          <w:rFonts w:ascii="Arial" w:cs="Arial" w:eastAsia="Arial" w:hAnsi="Arial"/>
          <w:sz w:val="21"/>
          <w:szCs w:val="21"/>
        </w:rPr>
        <w:t xml:space="preserve"> vuelve a donde estaba. Con señal lenta muestra «Buscando…» y no abre un resultado viejo mientras llega la respuesta.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4" name="buscador" descr="Buscador global" title="Buscador glob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Buscador global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al menos 2 letras: nombre, dirección, número de expediente, factura o salida, código de artículo…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Los resultados van por grupo, y solo de lo que su rol puede ver.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Tocar un resultado lo abre. Con el teclado: flechas y Enter.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«Ver todos» abre la lista completa ya filtrada con el mismo texto.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5" name="buscador_celular" descr="Buscador global en el celular" title="Buscador global en el celul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Buscador global en el celular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lupa junto a la campana abre el buscador a pantalla completa; tocar un resultado lo 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«Cerrar» vuelve a la pantalla en que estaba.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3" w:id="1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6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6.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6" w:id="16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6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7" w:id="1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7"/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7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8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8.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2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9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9.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2" w:id="22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2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3" w:id="2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3"/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10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11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2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3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343525"/>
            <wp:effectExtent t="0" r="0" b="0" l="0"/>
            <wp:docPr id="14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Salidas de bodega de esta obra con su estado; «Pedir material a bodega» abre la salida con la obra puesta.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Materiales de la orden: lo entregado por bodega entra solo; lo demás se anota a mano.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Agregar lo que no sale de bodega (comprado directo para la obra).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están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salidas de bodega</w:t>
      </w:r>
      <w:r>
        <w:rPr>
          <w:rFonts w:ascii="Arial" w:cs="Arial" w:eastAsia="Arial" w:hAnsi="Arial"/>
          <w:sz w:val="21"/>
          <w:szCs w:val="21"/>
        </w:rPr>
        <w:t xml:space="preserve"> de la obra con su estado y el botón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Pedir material a bodega</w:t>
      </w:r>
      <w:r>
        <w:rPr>
          <w:rFonts w:ascii="Arial" w:cs="Arial" w:eastAsia="Arial" w:hAnsi="Arial"/>
          <w:sz w:val="21"/>
          <w:szCs w:val="21"/>
        </w:rPr>
        <w:t xml:space="preserve">, que abre la salida con la obra puesta y a nombre del técnico responsable (él marca «Lo llevo» al cargar la camioneta). Al terminar de elegir el material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enviar a autorizar</w:t>
      </w:r>
      <w:r>
        <w:rPr>
          <w:rFonts w:ascii="Arial" w:cs="Arial" w:eastAsia="Arial" w:hAnsi="Arial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el borrador</w:t>
      </w:r>
      <w:r>
        <w:rPr>
          <w:rFonts w:ascii="Arial" w:cs="Arial" w:eastAsia="Arial" w:hAnsi="Arial"/>
          <w:sz w:val="21"/>
          <w:szCs w:val="21"/>
        </w:rPr>
        <w:t xml:space="preserve"> para seguir después). Cada salida de la obra dice qué le falta: enviarla a autorizar, que la autorice otra persona (nunca quien la pidió), que bodega la entregue o que el técnico la cargue; y si le toca a quien la está viendo, aparece el botón para avanzarla (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a autorizar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Autorizar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 en Salidas</w:t>
      </w:r>
      <w:r>
        <w:rPr>
          <w:rFonts w:ascii="Arial" w:cs="Arial" w:eastAsia="Arial" w:hAnsi="Arial"/>
          <w:sz w:val="21"/>
          <w:szCs w:val="21"/>
        </w:rPr>
        <w:t xml:space="preserve">). Lo que bodega entrega entra solo a la lista y no se puede quitar. No se pide ni se envía material para una obra cerrada, ni para una que ya pasó a otro técnico. Abajo se anota a mano solo lo que no sale de bodega, por ejemplo lo comprado directo para la obra.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5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6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16.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7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17.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1" w:id="31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1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2" w:id="3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8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9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20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21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2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3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23.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6" w:id="36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4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24.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7" w:id="3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7"/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5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9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40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6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2" w:id="42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2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3" w:id="4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3"/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8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5" w:id="45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9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6" w:id="4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6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30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código (o, si se cargaron sin código, por el nombre) y solo se actualizan sus datos. Dos productos con el mismo nombre y distinto código de AC Pro quedan como dos artículos.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31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2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32.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 La bodega se cuenta cada mes: si pasan 30 días desde el último conteo (o desde la carga del catálogo), quien administra la bodega recibe el aviso «Toca contar la bodega», una vez por mes.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3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33.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4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34.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5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35.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5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abiertas, le resta lo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ya salió para cada obra</w:t>
      </w:r>
      <w:r>
        <w:rPr>
          <w:rFonts w:ascii="Arial" w:cs="Arial" w:eastAsia="Arial" w:hAnsi="Arial"/>
          <w:sz w:val="21"/>
          <w:szCs w:val="21"/>
        </w:rPr>
        <w:t xml:space="preserve"> (salidas de bodega y material del diario) y después lo que hay en bodega: lo que queda es lo que conviene comprar por adelantado. Una obra a medio surtir solo pide lo que le falta.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6" name="bodega_compras" descr="Compras sugeridas" title="Compras sug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36. Compras sugeridas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Lo que suman los presupuestos aprobados de las obras abiertas.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 que ya salió para esas obras: no se vuelve a comprar.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falta entregar menos lo que hay en bodega.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1" w:id="51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7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37.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el día del técnico responsable, con sus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ayudantes</w:t>
      </w:r>
      <w:r>
        <w:rPr>
          <w:rFonts w:ascii="Arial" w:cs="Arial" w:eastAsia="Arial" w:hAnsi="Arial"/>
          <w:sz w:val="21"/>
          <w:szCs w:val="21"/>
        </w:rPr>
        <w:t xml:space="preserve"> (los técnicos que fueron con él), horas, qué se hizo, hasta dónde se avanzó, qué material faltó, qué llevar al día siguiente y novedades. Cada jornada queda a nombre de quien la registró: solo él (o la oficina) la corrige.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2"/>
        <w:keepNext/>
        <w:spacing w:after="90" w:before="200"/>
      </w:pPr>
      <w:bookmarkStart w:name="_Toc52" w:id="52"/>
      <w:r>
        <w:rPr>
          <w:rFonts w:ascii="Arial" w:cs="Arial" w:eastAsia="Arial" w:hAnsi="Arial"/>
          <w:b/>
          <w:bCs/>
          <w:sz w:val="24"/>
          <w:szCs w:val="24"/>
        </w:rPr>
        <w:t xml:space="preserve">12.6 Cambio de técnico, ayudantes y calendario de obras</w:t>
      </w:r>
      <w:bookmarkEnd w:id="5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personal rota. Cada obra tiene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 técnico responsable</w:t>
      </w:r>
      <w:r>
        <w:rPr>
          <w:rFonts w:ascii="Arial" w:cs="Arial" w:eastAsia="Arial" w:hAnsi="Arial"/>
          <w:sz w:val="21"/>
          <w:szCs w:val="21"/>
        </w:rPr>
        <w:t xml:space="preserve">, y es el único técnico que la llena: evidencias, checklist, equipos, firmas, diario y pedidos de material.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Cambiar el técnico:</w:t>
      </w:r>
      <w:r>
        <w:rPr>
          <w:rFonts w:ascii="Arial" w:cs="Arial" w:eastAsia="Arial" w:hAnsi="Arial"/>
          <w:sz w:val="21"/>
          <w:szCs w:val="21"/>
        </w:rPr>
        <w:t xml:space="preserve">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, Administración elige el otro técnico, la fecha desde la que sigue (por defecto, hoy) y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Cambiar técnico</w:t>
      </w:r>
      <w:r>
        <w:rPr>
          <w:rFonts w:ascii="Arial" w:cs="Arial" w:eastAsia="Arial" w:hAnsi="Arial"/>
          <w:sz w:val="21"/>
          <w:szCs w:val="21"/>
        </w:rPr>
        <w:t xml:space="preserve">. El nuevo continúa donde el otro terminó. Ahí mismo queda el historial: quién estuvo, desde y hasta cuándo. Lo puede hacer quien tenga el permiso de despacho (`dispatch.manage`): hoy, el Administrador y Administración; para dárselo a otro rol, se agrega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 técnico anterior</w:t>
      </w:r>
      <w:r>
        <w:rPr>
          <w:rFonts w:ascii="Arial" w:cs="Arial" w:eastAsia="Arial" w:hAnsi="Arial"/>
          <w:sz w:val="21"/>
          <w:szCs w:val="21"/>
        </w:rPr>
        <w:t xml:space="preserve"> sigue viendo la obra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lectura</w:t>
      </w:r>
      <w:r>
        <w:rPr>
          <w:rFonts w:ascii="Arial" w:cs="Arial" w:eastAsia="Arial" w:hAnsi="Arial"/>
          <w:sz w:val="21"/>
          <w:szCs w:val="21"/>
        </w:rPr>
        <w:t xml:space="preserve">: lo que hizo él y lo que va haciendo el nuevo. No sube fotos, no marca el checklist, no registra jornadas ni pide material. En Proyectos la obra le aparece con «Solo lectura».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 que hizo cada uno es suyo:</w:t>
      </w:r>
      <w:r>
        <w:rPr>
          <w:rFonts w:ascii="Arial" w:cs="Arial" w:eastAsia="Arial" w:hAnsi="Arial"/>
          <w:sz w:val="21"/>
          <w:szCs w:val="21"/>
        </w:rPr>
        <w:t xml:space="preserve"> una línea del checklist que marcó un técnico no la desmarca otro, y una jornada solo la corrige quien la registró. La oficina sí puede corregir.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Ayudantes:</w:t>
      </w:r>
      <w:r>
        <w:rPr>
          <w:rFonts w:ascii="Arial" w:cs="Arial" w:eastAsia="Arial" w:hAnsi="Arial"/>
          <w:sz w:val="21"/>
          <w:szCs w:val="21"/>
        </w:rPr>
        <w:t xml:space="preserve"> al registrar la jornada, el responsable marca qué técnicos fueron con él. Los ayudantes ven la obra en solo lectura para saber a dónde ir y qué se está haciendo; no la llenan.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38" name="rotacion_solo_lectura" descr="Obra en solo lectura para el técnico anterior" title="Obra en solo lectura para el técnico a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38. Obra en solo lectura para el técnico anterior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Solo lectura: el responsable de hoy es otro técnico. Se ve todo, no se llena.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Calendario de obras</w:t>
      </w:r>
      <w:r>
        <w:rPr>
          <w:rFonts w:ascii="Arial" w:cs="Arial" w:eastAsia="Arial" w:hAnsi="Arial"/>
          <w:sz w:val="21"/>
          <w:szCs w:val="21"/>
        </w:rPr>
        <w:t xml:space="preserve"> (menú Operación de campo): por mes o por semana, cada jornada registrada con la obra, el técnico, sus ayudantes y hasta dónde se avanzó; punteado, el día en que un técnico toma una obra. Al tocar una entrada se abre la obra. La oficina ve todo y puede filtrar por técnico; el técnico ve lo suyo. En el celular se ve como lista por día.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571750"/>
            <wp:effectExtent t="0" r="0" b="0" l="0"/>
            <wp:docPr id="39" name="calendario_obras" descr="Calendario de obras" title="Calendario de ob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39. Calendario de obras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Moverse por meses o semanas; «Hoy» vuelve al día de hoy.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Ver el mes o la semana, y solo un técnico.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Una jornada del diario: la obra, el técnico (y sus ayudantes) y hasta dónde se avanzó.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Punteado: el día en que un técnico toma la obra.</w:t>
      </w:r>
    </w:p>
    <w:p>
      <w:pPr>
        <w:spacing w:after="120"/>
      </w:pPr>
    </w:p>
    <w:p>
      <w:pPr>
        <w:pStyle w:val="Heading1"/>
        <w:keepNext/>
        <w:spacing w:after="140" w:before="300"/>
      </w:pPr>
      <w:bookmarkStart w:name="_Toc53" w:id="5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Turnos, asistencia y mapa</w:t>
      </w:r>
      <w:bookmarkEnd w:id="5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Turnos y asistencia</w:t>
      </w:r>
      <w:r>
        <w:rPr>
          <w:rFonts w:ascii="Arial" w:cs="Arial" w:eastAsia="Arial" w:hAnsi="Arial"/>
          <w:sz w:val="21"/>
          <w:szCs w:val="21"/>
        </w:rPr>
        <w:t xml:space="preserve">. Las horas se marcan con un botón; la ubicación se guarda solo en esas marcas (no hay rastreo continuo) y ninguna marca depende de tener señal en ese momento. Las reglas (tolerancias, extras, retención) son valores por defecto que Don Aldo todavía debe confirmar y se cambian sin programar.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13.1 Mi turno (todos los roles)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Al entrar a la app</w:t>
      </w:r>
      <w:r>
        <w:rPr>
          <w:rFonts w:ascii="Arial" w:cs="Arial" w:eastAsia="Arial" w:hAnsi="Arial"/>
          <w:sz w:val="21"/>
          <w:szCs w:val="21"/>
        </w:rPr>
        <w:t xml:space="preserve">, si tiene un turno hoy y no ha marcado, aparece una ventana que no se puede cerrar: su turno, la obra, si va tarde y qué ubicación se guarda. Debajo: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INICIAR TURNO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 puedo iniciar: registrar novedad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sesión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Iniciar:</w:t>
      </w:r>
      <w:r>
        <w:rPr>
          <w:rFonts w:ascii="Arial" w:cs="Arial" w:eastAsia="Arial" w:hAnsi="Arial"/>
          <w:sz w:val="21"/>
          <w:szCs w:val="21"/>
        </w:rPr>
        <w:t xml:space="preserve"> el navegador pide permiso de ubicación. Si lo niega o no hay GPS, el turno inicia igual y queda «sin ubicación»; nunca se marca ausente por eso.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Durante el turno</w:t>
      </w:r>
      <w:r>
        <w:rPr>
          <w:rFonts w:ascii="Arial" w:cs="Arial" w:eastAsia="Arial" w:hAnsi="Arial"/>
          <w:sz w:val="21"/>
          <w:szCs w:val="21"/>
        </w:rPr>
        <w:t xml:space="preserve">,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Mi turno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 camino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Llegué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Salida de obra</w:t>
      </w:r>
      <w:r>
        <w:rPr>
          <w:rFonts w:ascii="Arial" w:cs="Arial" w:eastAsia="Arial" w:hAnsi="Arial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Pausa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Reanudar</w:t>
      </w:r>
      <w:r>
        <w:rPr>
          <w:rFonts w:ascii="Arial" w:cs="Arial" w:eastAsia="Arial" w:hAnsi="Arial"/>
          <w:sz w:val="21"/>
          <w:szCs w:val="21"/>
        </w:rPr>
        <w:t xml:space="preserve"> con motivo;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novedad</w:t>
      </w:r>
      <w:r>
        <w:rPr>
          <w:rFonts w:ascii="Arial" w:cs="Arial" w:eastAsia="Arial" w:hAnsi="Arial"/>
          <w:sz w:val="21"/>
          <w:szCs w:val="21"/>
        </w:rPr>
        <w:t xml:space="preserve">. Sin señal, las marcas esperan en el teléfono y una franja dice cuántas faltan por enviar; se envían solas al volver la señal, sin duplicarse.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FINALIZAR TURNO</w:t>
      </w:r>
      <w:r>
        <w:rPr>
          <w:rFonts w:ascii="Arial" w:cs="Arial" w:eastAsia="Arial" w:hAnsi="Arial"/>
          <w:sz w:val="21"/>
          <w:szCs w:val="21"/>
        </w:rPr>
        <w:t xml:space="preserve"> muestra antes un resumen: entrada y salida, pausas, horas efectivas y diferencia con la malla, con campo de observaciones. Salir de la app con el turno abierto pide finalizarlo; lo que quede abierto se regulariza con una novedad.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733800"/>
                  <wp:effectExtent t="0" r="0" b="0" l="0"/>
                  <wp:docPr id="40" name="mi_turno" descr="Mi turno (celular del técnico)" title="Mi turno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733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40. Mi turno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 turno de hoy: reloj, obra y los botones del momento (iniciar, en camino, llegué, pausa, finalizar).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«Registrar novedad»: no pudo iniciar, llegó tarde, se le olvidó marcar…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55" w:id="55"/>
      <w:r>
        <w:rPr>
          <w:rFonts w:ascii="Arial" w:cs="Arial" w:eastAsia="Arial" w:hAnsi="Arial"/>
          <w:b/>
          <w:bCs/>
          <w:sz w:val="24"/>
          <w:szCs w:val="24"/>
        </w:rPr>
        <w:t xml:space="preserve">13.2 Malla de turnos (Administrador y Administración)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Programa turnos por persona y día, con hora de entrada y salida (puede cruzar medianoche), descanso y obra.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Copiar a la semana siguiente</w:t>
      </w:r>
      <w:r>
        <w:rPr>
          <w:rFonts w:ascii="Arial" w:cs="Arial" w:eastAsia="Arial" w:hAnsi="Arial"/>
          <w:sz w:val="21"/>
          <w:szCs w:val="21"/>
        </w:rPr>
        <w:t xml:space="preserve"> repite la semana y salta los que choquen.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Reglas de asistencia:</w:t>
      </w:r>
      <w:r>
        <w:rPr>
          <w:rFonts w:ascii="Arial" w:cs="Arial" w:eastAsia="Arial" w:hAnsi="Arial"/>
          <w:sz w:val="21"/>
          <w:szCs w:val="21"/>
        </w:rPr>
        <w:t xml:space="preserve"> tolerancia de entrada y de salida (10 min), extras desde 8 h al día y 40 h a la semana (0 apaga), ubicación cada N minutos con la app abierta (0 = solo en las marcas), días para borrar coordenadas (90), si las pausas se pagan y si se bloquea el trabajo de campo hasta iniciar el turno (apagado).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Motivos de novedad:</w:t>
      </w:r>
      <w:r>
        <w:rPr>
          <w:rFonts w:ascii="Arial" w:cs="Arial" w:eastAsia="Arial" w:hAnsi="Arial"/>
          <w:sz w:val="21"/>
          <w:szCs w:val="21"/>
        </w:rPr>
        <w:t xml:space="preserve"> la lista que se elige al registrar una novedad; uno que ya no se usa se desactiva.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Borrar ubicaciones de una persona:</w:t>
      </w:r>
      <w:r>
        <w:rPr>
          <w:rFonts w:ascii="Arial" w:cs="Arial" w:eastAsia="Arial" w:hAnsi="Arial"/>
          <w:sz w:val="21"/>
          <w:szCs w:val="21"/>
        </w:rPr>
        <w:t xml:space="preserve"> borra ya las coordenadas de todas sus marcas, sin esperar la retención. Las horas quedan y el borrado queda en la auditoría.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362200"/>
            <wp:effectExtent t="0" r="0" b="0" l="0"/>
            <wp:docPr id="41" name="malla_turnos" descr="Malla de turnos" title="Malla de turn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41. Malla de turnos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Semana que se ve; «Copiar a la semana siguiente» repite la semana.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 turno por persona y día, con su obra.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6" w:id="56"/>
      <w:r>
        <w:rPr>
          <w:rFonts w:ascii="Arial" w:cs="Arial" w:eastAsia="Arial" w:hAnsi="Arial"/>
          <w:b/>
          <w:bCs/>
          <w:sz w:val="24"/>
          <w:szCs w:val="24"/>
        </w:rPr>
        <w:t xml:space="preserve">13.3 Panel de asistencia, novedades y nómina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Panel de asistencia</w:t>
      </w:r>
      <w:r>
        <w:rPr>
          <w:rFonts w:ascii="Arial" w:cs="Arial" w:eastAsia="Arial" w:hAnsi="Arial"/>
          <w:sz w:val="21"/>
          <w:szCs w:val="21"/>
        </w:rPr>
        <w:t xml:space="preserve"> (Administrador, Administración, Contabilidad y Gerencia): personal programado, turnos iniciados y pendientes, llegadas tarde, salidas anticipadas, turnos incompletos, horas programadas, registradas y aprobadas, novedades pendientes y cumplimiento de la malla, con gráficas por persona y por día. Separa tres cosas: si el turno está activo, si hay ubicación reciente y si está verificado; quien no tiene señal no aparece como ausente.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Novedades y horas:</w:t>
      </w:r>
      <w:r>
        <w:rPr>
          <w:rFonts w:ascii="Arial" w:cs="Arial" w:eastAsia="Arial" w:hAnsi="Arial"/>
          <w:sz w:val="21"/>
          <w:szCs w:val="21"/>
        </w:rPr>
        <w:t xml:space="preserve"> Administración aprueba o rechaza novedades y correcciones y aprueba las horas. Nadie aprueba las suyas. Cada corrección guarda el valor original.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Nómina:</w:t>
      </w:r>
      <w:r>
        <w:rPr>
          <w:rFonts w:ascii="Arial" w:cs="Arial" w:eastAsia="Arial" w:hAnsi="Arial"/>
          <w:sz w:val="21"/>
          <w:szCs w:val="21"/>
        </w:rPr>
        <w:t xml:space="preserve"> por período, una fila por persona con horas programadas, registradas, pausas, extras diarias y semanales, aprobadas, ausencias, tardanzas y correcciones; en Excel o PDF. Cerrar el período (Administrador y Contabilidad) bloquea los cambios de esas fechas; reabrirlo pide motivo. El sistema no calcula pagos.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372100"/>
            <wp:effectExtent t="0" r="0" b="0" l="0"/>
            <wp:docPr id="42" name="panel_asistencia" descr="Panel de asistencia" title="Panel de asist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42. Panel de asistencia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Rango de fechas, persona y obra.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Indicadores: programados, iniciados, pendientes, tardanzas, horas y cumplimiento.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Horas programadas, registradas y aprobadas por persona.</w:t>
      </w:r>
    </w:p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419475"/>
            <wp:effectExtent t="0" r="0" b="0" l="0"/>
            <wp:docPr id="43" name="nomina" descr="Nómina" title="Nóm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43. Nómina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Período del reporte y exportar a Excel o PDF.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Períodos: cerrarlos bloquea los cambios de esas fechas; reabrir pide motivo.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7" w:id="57"/>
      <w:r>
        <w:rPr>
          <w:rFonts w:ascii="Arial" w:cs="Arial" w:eastAsia="Arial" w:hAnsi="Arial"/>
          <w:b/>
          <w:bCs/>
          <w:sz w:val="24"/>
          <w:szCs w:val="24"/>
        </w:rPr>
        <w:t xml:space="preserve">13.4 Mapa operativo</w:t>
      </w:r>
      <w:bookmarkEnd w:id="57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Mapa operativo</w:t>
      </w:r>
      <w:r>
        <w:rPr>
          <w:rFonts w:ascii="Arial" w:cs="Arial" w:eastAsia="Arial" w:hAnsi="Arial"/>
          <w:sz w:val="21"/>
          <w:szCs w:val="21"/>
        </w:rPr>
        <w:t xml:space="preserve"> (menú Turnos y asistencia) muestra las obras como pines por estado y al personal en su última ubicación conocida, con cuánto hace que se tomó. Se actualiza cada 30 segundos. Filtros: obras abiertas o un día del calendario, persona, cliente y estado.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sugerido del día</w:t>
      </w:r>
      <w:r>
        <w:rPr>
          <w:rFonts w:ascii="Arial" w:cs="Arial" w:eastAsia="Arial" w:hAnsi="Arial"/>
          <w:sz w:val="21"/>
          <w:szCs w:val="21"/>
        </w:rPr>
        <w:t xml:space="preserve"> ordena las obras de una persona por distancia en línea recta y abre la ruta en Google Maps.</w:t>
      </w:r>
    </w:p>
    <w:p>
      <w:pPr>
        <w:pStyle w:val="Heading2"/>
        <w:keepNext/>
        <w:spacing w:after="90" w:before="200"/>
      </w:pPr>
      <w:bookmarkStart w:name="_Toc58" w:id="58"/>
      <w:r>
        <w:rPr>
          <w:rFonts w:ascii="Arial" w:cs="Arial" w:eastAsia="Arial" w:hAnsi="Arial"/>
          <w:b/>
          <w:bCs/>
          <w:sz w:val="24"/>
          <w:szCs w:val="24"/>
        </w:rPr>
        <w:t xml:space="preserve">13.5 De dónde sale el punto de la obra</w:t>
      </w:r>
      <w:bookmarkEnd w:id="58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 GPS de la visita:</w:t>
      </w:r>
      <w:r>
        <w:rPr>
          <w:rFonts w:ascii="Arial" w:cs="Arial" w:eastAsia="Arial" w:hAnsi="Arial"/>
          <w:sz w:val="21"/>
          <w:szCs w:val="21"/>
        </w:rPr>
        <w:t xml:space="preserve"> cuando el vendedor registra la visita con el celular y da permiso de ubicación, ese punto pasa a la obra al aprobarse el expediente. Es el más exacto.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Obras sin ubicar:</w:t>
      </w:r>
      <w:r>
        <w:rPr>
          <w:rFonts w:ascii="Arial" w:cs="Arial" w:eastAsia="Arial" w:hAnsi="Arial"/>
          <w:sz w:val="21"/>
          <w:szCs w:val="21"/>
        </w:rPr>
        <w:t xml:space="preserve"> si la visita no tomó GPS (no se dio permiso, la obra se creó a mano o son datos de prueba), la obra aparece abajo del mapa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Obras sin ubicar</w:t>
      </w:r>
      <w:r>
        <w:rPr>
          <w:rFonts w:ascii="Arial" w:cs="Arial" w:eastAsia="Arial" w:hAnsi="Arial"/>
          <w:sz w:val="21"/>
          <w:szCs w:val="21"/>
        </w:rPr>
        <w:t xml:space="preserve"> con el aviso «No tienen el GPS de la visita del vendedor». Es normal y se arregla así:</w:t>
      </w:r>
    </w:p>
    <w:p>
      <w:pPr>
        <w:pStyle w:val="ListParagraph"/>
        <w:numPr>
          <w:ilvl w:val="1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Ubicar por dirección:</w:t>
      </w:r>
      <w:r>
        <w:rPr>
          <w:rFonts w:ascii="Arial" w:cs="Arial" w:eastAsia="Arial" w:hAnsi="Arial"/>
          <w:sz w:val="21"/>
          <w:szCs w:val="21"/>
        </w:rPr>
        <w:t xml:space="preserve"> pone en el mapa, de una vez, las obras sin ubicar usando su dirección (hasta 25 por vez). La busca el geocodificador del Censo de EE. UU.: solo se le envía la calle, la ciudad, el estado y el ZIP, nunca el nombre del cliente. El punto queda en la calle del parque, no en el espacio exacto.</w:t>
      </w:r>
    </w:p>
    <w:p>
      <w:pPr>
        <w:pStyle w:val="ListParagraph"/>
        <w:numPr>
          <w:ilvl w:val="1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Fijar en el mapa:</w:t>
      </w:r>
      <w:r>
        <w:rPr>
          <w:rFonts w:ascii="Arial" w:cs="Arial" w:eastAsia="Arial" w:hAnsi="Arial"/>
          <w:sz w:val="21"/>
          <w:szCs w:val="21"/>
        </w:rPr>
        <w:t xml:space="preserve"> para la que no se encuentre por dirección, o para corregir un punto: tóquelo y luego toque el lugar en el mapa.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dos acciones las hace quien puede editar obras (Administrador y Administración). Una obra que ya tiene punto no se cambia al ubicar por dirección. Cada cambio queda en la auditoría.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 la obra,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Ubicación de la obra</w:t>
      </w:r>
      <w:r>
        <w:rPr>
          <w:rFonts w:ascii="Arial" w:cs="Arial" w:eastAsia="Arial" w:hAnsi="Arial"/>
          <w:sz w:val="21"/>
          <w:szCs w:val="21"/>
        </w:rPr>
        <w:t xml:space="preserve"> muestra el mismo punto, el técnico responsable y la distancia en línea recta,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Cómo llegar</w:t>
      </w:r>
      <w:r>
        <w:rPr>
          <w:rFonts w:ascii="Arial" w:cs="Arial" w:eastAsia="Arial" w:hAnsi="Arial"/>
          <w:sz w:val="21"/>
          <w:szCs w:val="21"/>
        </w:rPr>
        <w:t xml:space="preserve"> (Google Maps) y los mismos botones.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648200"/>
            <wp:effectExtent t="0" r="0" b="0" l="0"/>
            <wp:docPr id="44" name="mapa_operativo" descr="Mapa operativo" title="Mapa opera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44. Mapa operativo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Obras abiertas o las de un día del calendario.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Filtrar por persona, cliente o estado.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Pines de las obras por estado y del personal en su última ubicación.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Orden de las obras de una persona por distancia, con la ruta en Google Maps.</w:t>
      </w:r>
    </w:p>
    <w:p>
      <w:pPr>
        <w:spacing w:after="120"/>
      </w:pPr>
    </w:p>
    <w:p>
      <w:pPr>
        <w:pStyle w:val="Heading1"/>
        <w:keepNext/>
        <w:spacing w:after="140" w:before="300"/>
      </w:pPr>
      <w:bookmarkStart w:name="_Toc59" w:id="59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Guía de pruebas sugerida</w:t>
      </w:r>
      <w:bookmarkEnd w:id="59"/>
    </w:p>
    <w:p>
      <w:pPr>
        <w:pStyle w:val="Heading2"/>
        <w:keepNext/>
        <w:spacing w:after="90" w:before="200"/>
      </w:pPr>
      <w:bookmarkStart w:name="_Toc60" w:id="60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60"/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61" w:id="61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61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62" w:id="62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62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63" w:id="6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Cómo reportar un problema</w:t>
      </w:r>
      <w:bookmarkEnd w:id="63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64" w:id="64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16. Lo que todavía no hace</w:t>
      </w:r>
      <w:bookmarkEnd w:id="6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Planear de antemano qué técnico va cada día a una obra (hoy se ve lo que pasó y quién es el responsable).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70b54b17d80ac8749730aac737d1fb7ff5958da8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25ddf11f985552a69a5e6f8ca947b1ec6472ccde.png"/><Relationship Id="rId12" Type="http://schemas.openxmlformats.org/officeDocument/2006/relationships/image" Target="media/2b0c72a32e23abad6c6a5f0487234f61ccf60d7b.png"/><Relationship Id="rId13" Type="http://schemas.openxmlformats.org/officeDocument/2006/relationships/image" Target="media/6cc28152dbb374ff7baabd742ec43d684144e13f.png"/><Relationship Id="rId14" Type="http://schemas.openxmlformats.org/officeDocument/2006/relationships/image" Target="media/d67e4e576c631a56d4acbaa0c5b786ba53ed71ec.png"/><Relationship Id="rId15" Type="http://schemas.openxmlformats.org/officeDocument/2006/relationships/image" Target="media/4e12f25063d3b657a7d7f2b09801841eb57bf372.png"/><Relationship Id="rId16" Type="http://schemas.openxmlformats.org/officeDocument/2006/relationships/image" Target="media/52fb0038bdbfea4459bc1b92f60dd11ff2748d3c.png"/><Relationship Id="rId17" Type="http://schemas.openxmlformats.org/officeDocument/2006/relationships/image" Target="media/48e283d1f506e94496aa734d44c5977ddfe81929.png"/><Relationship Id="rId18" Type="http://schemas.openxmlformats.org/officeDocument/2006/relationships/image" Target="media/01a269055c4de59f229c1bbef16219e746c7ce60.png"/><Relationship Id="rId19" Type="http://schemas.openxmlformats.org/officeDocument/2006/relationships/image" Target="media/7b3e3bcfefe07ed504d697ce6ce36a01489654d9.png"/><Relationship Id="rId20" Type="http://schemas.openxmlformats.org/officeDocument/2006/relationships/image" Target="media/bad5e846929d9a0ddc53ba5c16abfad23f858281.png"/><Relationship Id="rId21" Type="http://schemas.openxmlformats.org/officeDocument/2006/relationships/image" Target="media/46b1cf1dca7dd1cf18ca28501e427eebfba45014.png"/><Relationship Id="rId22" Type="http://schemas.openxmlformats.org/officeDocument/2006/relationships/image" Target="media/672c90f9f431b177deaa97790a015e214c5cece2.png"/><Relationship Id="rId23" Type="http://schemas.openxmlformats.org/officeDocument/2006/relationships/image" Target="media/4d7d7115085364dd2dde2f785f5fd63fad0f0a58.png"/><Relationship Id="rId24" Type="http://schemas.openxmlformats.org/officeDocument/2006/relationships/image" Target="media/9fc895aa0f4722d879c9219e444c59e8efca61ca.png"/><Relationship Id="rId25" Type="http://schemas.openxmlformats.org/officeDocument/2006/relationships/image" Target="media/92742f7779b09827653c32f4a0c60c9bd867467b.png"/><Relationship Id="rId26" Type="http://schemas.openxmlformats.org/officeDocument/2006/relationships/image" Target="media/a48f9cf03e37a27fd9a1b9e8eb414aebd94e31aa.png"/><Relationship Id="rId27" Type="http://schemas.openxmlformats.org/officeDocument/2006/relationships/image" Target="media/11298a1d157ac8e1fe1c2ac1a2d4c7f9167835a3.png"/><Relationship Id="rId28" Type="http://schemas.openxmlformats.org/officeDocument/2006/relationships/image" Target="media/5d5372c0da37222212a63224c425f2c95a644a9e.png"/><Relationship Id="rId29" Type="http://schemas.openxmlformats.org/officeDocument/2006/relationships/image" Target="media/db4c3dd4a85e5e26a9833a9358525e572e925a36.png"/><Relationship Id="rId30" Type="http://schemas.openxmlformats.org/officeDocument/2006/relationships/image" Target="media/916ec512c7066e60b9c264a284572fe17ff6af9e.png"/><Relationship Id="rId31" Type="http://schemas.openxmlformats.org/officeDocument/2006/relationships/image" Target="media/7f0c4c048624f7437e9bb5b5c3b9f48d6ec97f40.png"/><Relationship Id="rId32" Type="http://schemas.openxmlformats.org/officeDocument/2006/relationships/image" Target="media/a9e6203cdd06e1377ec0fe8b0afa56c1d6ebdb92.png"/><Relationship Id="rId33" Type="http://schemas.openxmlformats.org/officeDocument/2006/relationships/image" Target="media/e8b9049019cea309fbb47ccfca452f1ba63af506.png"/><Relationship Id="rId34" Type="http://schemas.openxmlformats.org/officeDocument/2006/relationships/image" Target="media/7d8aa83ac970efe89bbef1443646b7498be36be0.png"/><Relationship Id="rId35" Type="http://schemas.openxmlformats.org/officeDocument/2006/relationships/image" Target="media/f2329b82d504d99e5f609aafdb77cf2fed902ac8.png"/><Relationship Id="rId36" Type="http://schemas.openxmlformats.org/officeDocument/2006/relationships/image" Target="media/ba3f2bb90db51bea0f1bba71640355c2e7efb132.png"/><Relationship Id="rId37" Type="http://schemas.openxmlformats.org/officeDocument/2006/relationships/image" Target="media/4f97c8e7161da3f2bd0e85ddcf4bec2adfd21ec7.png"/><Relationship Id="rId38" Type="http://schemas.openxmlformats.org/officeDocument/2006/relationships/image" Target="media/e98c5042ba3483a723eaa3f02f115050aa287bb6.png"/><Relationship Id="rId39" Type="http://schemas.openxmlformats.org/officeDocument/2006/relationships/image" Target="media/02cc3669739374226444f3fabc83b5abaa038dd6.png"/><Relationship Id="rId40" Type="http://schemas.openxmlformats.org/officeDocument/2006/relationships/image" Target="media/5022215630fb2874fdbc4e471c9b4083ae52fda3.png"/><Relationship Id="rId41" Type="http://schemas.openxmlformats.org/officeDocument/2006/relationships/image" Target="media/28ad8a0505e4ee5acb3b85f62041b1e8d6db8aaf.png"/><Relationship Id="rId42" Type="http://schemas.openxmlformats.org/officeDocument/2006/relationships/image" Target="media/beb1cf8a283b35d721e75aa2b27344b1ad9d6fa3.png"/><Relationship Id="rId43" Type="http://schemas.openxmlformats.org/officeDocument/2006/relationships/image" Target="media/5be25b4b6e9b26ea2e4989cf11e14892d4797b2d.png"/><Relationship Id="rId44" Type="http://schemas.openxmlformats.org/officeDocument/2006/relationships/image" Target="media/8a12a61b67a0d2752b5d7342040089a3af814334.png"/><Relationship Id="rId45" Type="http://schemas.openxmlformats.org/officeDocument/2006/relationships/image" Target="media/eddb389fad156e228c0c680271d55e1d192a1475.png"/><Relationship Id="rId46" Type="http://schemas.openxmlformats.org/officeDocument/2006/relationships/image" Target="media/0649a3878bfae62728cfb9bf2b772dfdce33b953.png"/><Relationship Id="rId47" Type="http://schemas.openxmlformats.org/officeDocument/2006/relationships/image" Target="media/6a589f3681f403216bcbbad8a021c363b81341bb.png"/><Relationship Id="rId48" Type="http://schemas.openxmlformats.org/officeDocument/2006/relationships/image" Target="media/5365817a1d09e4495e58d8a0dcff7250b6a021d8.png"/><Relationship Id="rId49" Type="http://schemas.openxmlformats.org/officeDocument/2006/relationships/image" Target="media/f5aaf82b81d6d70dd9792c28e7608268f8791e12.png"/><Relationship Id="rId50" Type="http://schemas.openxmlformats.org/officeDocument/2006/relationships/image" Target="media/0bf578c21f046fa975ca2f609a0d7e8078f646d8.png"/><Relationship Id="rId51" Type="http://schemas.openxmlformats.org/officeDocument/2006/relationships/image" Target="media/118cd80a88443b688ec388bac54eb1d913e25a09.pn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2026-10-25T02:02:54.187Z</dcterms:created>
  <dcterms:modified xsi:type="dcterms:W3CDTF">2026-10-25T02:02:54.189Z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