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19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13).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Guía de pruebas sugerida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9">
            <w:r>
              <w:t xml:space="preserve">13. Cómo reportar un problema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0">
            <w:r>
              <w:t xml:space="preserve">14. Lo que todavía no hace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es una guía para probar la plataforma de punta a punta.</w:t>
      </w:r>
    </w:p>
    <w:p>
      <w:pPr>
        <w:pStyle w:val="Heading1"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Dónde está y qué hace cada técnico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p>
      <w:pPr>
        <w:pStyle w:val="Heading2"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spacing w:after="80"/>
      </w:pPr>
    </w:p>
    <w:p>
      <w:pPr>
        <w:pStyle w:val="Heading2"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Guía de pruebas sugerida</w:t>
      </w:r>
      <w:bookmarkEnd w:id="45"/>
    </w:p>
    <w:p>
      <w:pPr>
        <w:pStyle w:val="Heading2"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46"/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4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48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spacing w:after="140" w:before="300"/>
      </w:pPr>
      <w:bookmarkStart w:name="_Toc49" w:id="49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Cómo reportar un problema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spacing w:after="140" w:before="300"/>
      </w:pPr>
      <w:bookmarkStart w:name="_Toc50" w:id="5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Lo que todavía no hace</w:t>
      </w:r>
      <w:bookmarkEnd w:id="5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Inventario de bodega (en propuesta), órdenes de compra y precios por proveedor.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2026-10-19T03:33:18.495Z</dcterms:created>
  <dcterms:modified xsi:type="dcterms:W3CDTF">2026-10-19T03:33:18.496Z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