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8"/>
          <w:szCs w:val="28"/>
        </w:rPr>
        <w:t xml:space="preserve">[Prot 704] Building a Literature Reference Set</w:t>
      </w:r>
    </w:p>
    <w:p>
      <w:pPr>
        <w:spacing w:after="120"/>
      </w:pPr>
      <w:r>
        <w:t xml:space="preserve">Written 9/11/26 by Albert Yeh. Procedure and yields read from the reference_builder tooling.</w:t>
      </w:r>
    </w:p>
    <w:p>
      <w:pPr>
        <w:pStyle w:val="Heading2"/>
        <w:spacing w:before="240" w:after="80"/>
      </w:pPr>
      <w:r>
        <w:rPr>
          <w:b/>
        </w:rPr>
        <w:t xml:space="preserve">Notes: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output is a folder reference_data/lit_&lt;topic&gt;/ holding references.csv — every matching paper in a curated set of journals — and pdfs/ holding the open-access subset.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lit_ prefix is required, not cosmetic: it is what keeps the 19+ reference sets sorting together and separate from analysis directories.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Impact factor is NOT a field in PubMed or Europe PMC. “Top tier” is enforced by a curated journal allow-list, chosen with --tier. Show the list to whoever asked for the set and let them add or remove journals BEFORE downloading.</w:t>
      </w:r>
    </w:p>
    <w:p>
      <w:pPr>
        <w:pStyle w:val="Heading2"/>
        <w:spacing w:before="240" w:after="80"/>
      </w:pPr>
      <w:r>
        <w:rPr>
          <w:b/>
        </w:rPr>
        <w:t xml:space="preserve">Choosing a tier — this is the decision that matters: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curated — the default. Broad IF&gt;10 haematology, oncology, immunology, genomics, microbiome.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immuno — strict immunology: the Nature/Science/Cell flagships plus the named immunology journals.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transplant — curated plus the clinical HCT journals. Use this for any clinical transplant question. The reason is measured, not assumed: one seed paper cited 22 indexed articles, 14 of them in Bone Marrow Transplantation, which an IF&gt;10 bar would have thrown away.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microbe_eng — curated plus IF&gt;2 microbiology and synthetic biology, because the engineering-toolkit papers are in ASM and Frontiers journals, not Nature.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cart — curated plus the cell-therapy venues, including Blood Advances deliberately below the IF bar.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all — no journal filter at all. Use when the user says to ignore impact factor.</w:t>
      </w:r>
    </w:p>
    <w:p>
      <w:pPr>
        <w:pStyle w:val="Heading2"/>
        <w:spacing w:before="240" w:after="80"/>
      </w:pPr>
      <w:r>
        <w:rPr>
          <w:b/>
        </w:rPr>
        <w:t xml:space="preserve">Running it: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Pick the tier and show the journal list for confirmation.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Run reference_builder.py with the query and --outdir reference_data/lit_&lt;topic&gt;. This writes references.csv.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Download the PDFs with the SLURM template download_pdfs.sh, which fans the work out and is idempotent — it skips files already on disk over 20 KB.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Run oa_extra_routes.py on the same CSV to pick up what the first pass missed.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Report the yield honestly: how many rows, how many PDFs, and how many are genuinely paywalled.</w:t>
      </w:r>
    </w:p>
    <w:p>
      <w:pPr>
        <w:pStyle w:val="Heading2"/>
        <w:spacing w:before="240" w:after="80"/>
      </w:pPr>
      <w:r>
        <w:rPr>
          <w:b/>
        </w:rPr>
        <w:t xml:space="preserve">How PDFs are actually found (seven routes, tried in order):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Europe PMC render, then NCBI OA, then Unpaywall — the automatic first pass. Typically 70–75% via PubMed Central alone; Unpaywall recovers roughly half the rest.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OpenAlex, Semantic Scholar and the preprint servers — the second pass. OpenAlex often supplies a PMC id that Europe PMC left blank, and Semantic Scholar often finds the bioRxiv copy of a paywalled paper under a different DOI entirely.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 headless browser against PMC — the last resort, for NIH-mandate author manuscripts that are free to read but not redistributable.</w:t>
      </w:r>
    </w:p>
    <w:p>
      <w:pPr>
        <w:pStyle w:val="Heading2"/>
        <w:spacing w:before="240" w:after="80"/>
      </w:pPr>
      <w:r>
        <w:rPr>
          <w:b/>
        </w:rPr>
        <w:t xml:space="preserve">The rate-limit warning — read this before scaling up: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NCBI rate-limits by IP and then by SUBNET. An hour of 8–10 parallel browser jobs once got the whole compute subnet blocked while the login nodes still worked.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sustainable recipe is 2 nodes, one browser each, PMC_MIN_INTERVAL=90 — about 1.3 requests a minute across the subnet, run as a slow trickle over hours.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Order the candidate list oldest-first, so the slow hours are spent on high-yield pre-embargo papers.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 run of consecutive no-download results is the block signature. Back off; do not add nodes.</w:t>
      </w:r>
    </w:p>
    <w:p>
      <w:pPr>
        <w:pStyle w:val="Heading2"/>
        <w:spacing w:before="240" w:after="80"/>
      </w:pPr>
      <w:r>
        <w:rPr>
          <w:b/>
        </w:rPr>
        <w:t xml:space="preserve">Two things that look like completeness and are not: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isOpenAccess=N does NOT mean there is no PDF. A paper flagged N very often still has a PMC id and a retrievable author manuscript. Never gate the download candidates on that flag.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 set built before a routing fix is only as complete as the code at build time. Re-run the download pass on an old set before concluding a paper is unavailable — one set left about 1,200 recoverable PDFs on the table that way.</w:t>
      </w:r>
    </w:p>
    <w:p>
      <w:pPr>
        <w:pStyle w:val="Heading2"/>
        <w:spacing w:before="240" w:after="80"/>
      </w:pPr>
      <w:r>
        <w:rPr>
          <w:b/>
        </w:rPr>
        <w:t xml:space="preserve">The weekly digest: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Each lit_ set has a watch job that mails new papers matching the same query. They run on the cron schedule described in [Prot 709], with an SLA of 192 hours.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When reconstructing a query for an existing set, test recall against papers already in the CSV before trusting it.</w:t>
      </w:r>
    </w:p>
    <w:p>
      <w:pPr>
        <w:pStyle w:val="Heading2"/>
        <w:spacing w:before="240" w:after="80"/>
      </w:pPr>
      <w:r>
        <w:rPr>
          <w:b/>
        </w:rPr>
        <w:t xml:space="preserve">Source:</w:t>
      </w:r>
    </w:p>
    <w:p>
      <w:pPr>
        <w:spacing w:after="120"/>
      </w:pPr>
      <w:r>
        <w:rPr>
          <w:i/>
        </w:rPr>
        <w:t xml:space="preserve">The reference_builder tooling and its own notes, plus the lab's built sets under /fh/fast/yeh_a/grp/reference_data/lit_*. Yields and the subnet-block episode are recorded from real runs, not estimated.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</w:abstractNum>
  <w:abstractNum w:abstractNumId="1">
    <w:multiLevelType w:val="hybridMultilevel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</w:lvl>
    <w:lvl w:ilvl="2">
      <w:start w:val="1"/>
      <w:numFmt w:val="bullet"/>
      <w:lvlText w:val="▪"/>
      <w:lvlJc w:val="left"/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2">
    <w:name w:val="heading 2"/>
    <w:basedOn w:val="Normal"/>
    <w:qFormat/>
    <w:pPr>
      <w:outlineLvl w:val="1"/>
    </w:pPr>
    <w:rPr>
      <w:b/>
      <w:sz w:val="24"/>
      <w:szCs w:val="24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Fred Hutchinson Cancer Center</Company>
  <Paragraphs>36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[Prot 704] Building a Literature Reference Set</dc:title>
  <dc:subject>Yeh Lab computational methods, 700s series</dc:subject>
  <dc:creator>Yeh MD, Albert C</dc:creator>
  <cp:lastModifiedBy>Yeh MD, Albert C</cp:lastModifiedBy>
  <dc:description>Topic to a metadata CSV plus open-access PDFs, and the weekly new-paper digest.</dc:description>
  <dcterms:created xsi:type="dcterms:W3CDTF">2026-09-11T00:00:00Z</dcterms:created>
  <dcterms:modified xsi:type="dcterms:W3CDTF">2026-09-11T00:00:00Z</dcterms:modified>
  <cp:revision>1</cp:revision>
</cp:coreProperties>
</file>