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8"/>
          <w:szCs w:val="28"/>
        </w:rPr>
        <w:t xml:space="preserve">[Prot 705] Single-Cell RNA-seq Analysis Pipeline</w:t>
      </w:r>
    </w:p>
    <w:p>
      <w:pPr>
        <w:spacing w:after="120"/>
      </w:pPr>
      <w:r>
        <w:t xml:space="preserve">Written 9/11/26 by Albert Yeh. Canonical order established in the 10x myeloma publication notebooks.</w:t>
      </w:r>
    </w:p>
    <w:p>
      <w:pPr>
        <w:pStyle w:val="Heading2"/>
        <w:spacing w:before="240" w:after="80"/>
      </w:pPr>
      <w:r>
        <w:rPr>
          <w:b/>
        </w:rPr>
        <w:t xml:space="preserve">The order, and why it is this order: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Per-cell QC filter.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Doublet detection — hashtag demultiplex first, then transcriptomic.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Normalise, select variable genes WITH RECEPTOR GENES MASKED, PCA.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Neighbours, UMAP, Leiden across a resolution sweep.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Identify and remove contaminant clusters.</w:t>
      </w:r>
    </w:p>
    <w:p>
      <w:pPr>
        <w:numPr>
          <w:ilvl w:val="0"/>
          <w:numId w:val="2"/>
        </w:numPr>
        <w:spacing w:after="40"/>
        <w:ind w:left="720" w:hanging="360"/>
      </w:pPr>
      <w:r>
        <w:t xml:space="preserve">Annotate cell types — data-driven first pass, then manual labels with an evidence table.</w:t>
      </w:r>
    </w:p>
    <w:p>
      <w:pPr>
        <w:pStyle w:val="Heading2"/>
        <w:spacing w:before="240" w:after="80"/>
      </w:pPr>
      <w:r>
        <w:rPr>
          <w:b/>
        </w:rPr>
        <w:t xml:space="preserve">1. QC filtering: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Thresholds are per sample and live in ONE file, qc_config.py. Edit them there; every notebook imports it.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Shallow, clean libraries: UMI floor 500, mitochondrial cap 5%.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Deep or sorted libraries: UMI floor 1000, mitochondrial cap 15% — the higher cap deliberately recovers a genuine well-covered stressed population that a 5% cap would discard.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There is no minimum-gene filter. The UMI floor and the mito cap do the work; a flat gene floor is depth-biased.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Name the combined mask fail_MT_or_UMI, not fail_GEX — it is the union of two filters and no gene filter, and the name should say so.</w:t>
      </w:r>
    </w:p>
    <w:p>
      <w:pPr>
        <w:pStyle w:val="Heading2"/>
        <w:spacing w:before="240" w:after="80"/>
      </w:pPr>
      <w:r>
        <w:rPr>
          <w:b/>
        </w:rPr>
        <w:t xml:space="preserve">2. Doublets — filter FIRST, then demultiplex: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HashSolo assigns hashtags and calls singlet/doublet/negative. Its priors assume QC-passed input, which is why QC comes first.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Then Scrublet, on the RESIDUAL doublet rate — HashSolo has already removed the hashtag-visible ones, so passing the raw expected rate double-counts.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Sanity check: real doublets show a broad 5–50% second-tag ramp from unequal hashtag loading, NOT a 50/50 split.</w:t>
      </w:r>
    </w:p>
    <w:p>
      <w:pPr>
        <w:pStyle w:val="Heading2"/>
        <w:spacing w:before="240" w:after="80"/>
      </w:pPr>
      <w:r>
        <w:rPr>
          <w:b/>
        </w:rPr>
        <w:t xml:space="preserve">3. Mask receptor genes BEFORE selecting variable genes:</w:t>
      </w:r>
    </w:p>
    <w:p>
      <w:pPr>
        <w:spacing w:after="120"/>
      </w:pPr>
      <w:r>
        <w:t xml:space="preserve">This is the step most often skipped and it changes the result.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Clonal receptor genes (immunoglobulin in plasma and B cells, TCR in T cells) are hyper-variable for reasons that have nothing to do with cell state, and they dominate the principal components — so cells cluster by clonotype instead of by biology.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In this lab's own data, before masking, 69 of 2000 variable genes in the CAR-T arm were TCR genes, and Trbv17 was the 20th most variable gene overall.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Mask the families OUT of the candidate pool, then take the top N among what survives, so the whole budget goes to cell-state genes. Then re-run PCA.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Mask: immunoglobulin for plasma/B, TCR for T cells, mitochondrial always, ribosomal by convention. Use the helpers rather than a regex — a naive TCR pattern eats Tradd, Trat1 and Traf.</w:t>
      </w:r>
    </w:p>
    <w:p>
      <w:pPr>
        <w:pStyle w:val="Heading2"/>
        <w:spacing w:before="240" w:after="80"/>
      </w:pPr>
      <w:r>
        <w:rPr>
          <w:b/>
        </w:rPr>
        <w:t xml:space="preserve">4. Clustering: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Defaults: 2000 variable genes, 30 principal components, 15 neighbours, seed 0.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Pass transformer='sklearn' to the neighbours step. Without it the graph is not deterministic, and the Leiden result is only reproducible given a fixed graph.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Sweep all six resolutions (0.4 to 1.4) and keep every column, so a later decision does not require a re-run.</w:t>
      </w:r>
    </w:p>
    <w:p>
      <w:pPr>
        <w:pStyle w:val="Heading2"/>
        <w:spacing w:before="240" w:after="80"/>
      </w:pPr>
      <w:r>
        <w:rPr>
          <w:b/>
        </w:rPr>
        <w:t xml:space="preserve">5. Colour concordance — a standing lab preference: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Every plot coloured by a cluster — UMAP, sweep grid, composition bars, legends — must use ONE palette, so a cluster is the same colour everywhere.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Reuse the palette scanpy stored in the object. Do NOT hand-roll a tab20 colormap: it is a different colormap AND indexed differently, so it will never agree with the UMAP.</w:t>
      </w:r>
    </w:p>
    <w:p>
      <w:pPr>
        <w:pStyle w:val="Heading2"/>
        <w:spacing w:before="240" w:after="80"/>
      </w:pPr>
      <w:r>
        <w:rPr>
          <w:b/>
        </w:rPr>
        <w:t xml:space="preserve">6. Annotation: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Stage 1: score lineage gene modules per cluster and take the argmax. Transparent and defensible to a reviewer.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Stage 2: manual labels keyed by cluster number, with an evidence table — markers, cell count, median UMIs, percent mitochondrial. Keep the stage-1 result alongside it.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On labelled UMAPs use a numbered badge at each centroid plus a side legend, not names at centroids — long names overlap.</w:t>
      </w:r>
    </w:p>
    <w:p>
      <w:pPr>
        <w:pStyle w:val="Heading2"/>
        <w:spacing w:before="240" w:after="80"/>
      </w:pPr>
      <w:r>
        <w:rPr>
          <w:b/>
        </w:rPr>
        <w:t xml:space="preserve">Saving the object — keep it lean: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The scaling step overwrites the matrix with a DENSE z-scored copy. Never save that. On one sister object it was 13 of 18.9 GB.</w:t>
      </w:r>
    </w:p>
    <w:p>
      <w:pPr>
        <w:numPr>
          <w:ilvl w:val="0"/>
          <w:numId w:val="1"/>
        </w:numPr>
        <w:spacing w:after="40"/>
        <w:ind w:left="720" w:hanging="360"/>
      </w:pPr>
      <w:r>
        <w:t xml:space="preserve">Store log-normalised sparse float32 as the main matrix, and raw integer counts as a layer. Snapshot the counts BEFORE normalising — normalisation divides out library size and is not reversible.</w:t>
      </w:r>
    </w:p>
    <w:p>
      <w:pPr>
        <w:pStyle w:val="Heading2"/>
        <w:spacing w:before="240" w:after="80"/>
      </w:pPr>
      <w:r>
        <w:rPr>
          <w:b/>
        </w:rPr>
        <w:t xml:space="preserve">Source:</w:t>
      </w:r>
    </w:p>
    <w:p>
      <w:pPr>
        <w:spacing w:after="120"/>
      </w:pPr>
      <w:r>
        <w:rPr>
          <w:i/>
        </w:rPr>
        <w:t xml:space="preserve">The publication notebook 99_final.ipynb and pipeline notebooks 01a/01b/02/03 for the Huanle myeloma 10x project, and code/python/qc_config.py, whose History docstring carries the reasoning behind each threshold. Read that docstring before changing a number.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  <w:lvl w:ilvl="2">
      <w:start w:val="1"/>
      <w:numFmt w:val="bullet"/>
      <w:lvlText w:val="▪"/>
      <w:lvlJc w:val="left"/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qFormat/>
    <w:pPr>
      <w:outlineLvl w:val="1"/>
    </w:pPr>
    <w:rPr>
      <w:b/>
      <w:sz w:val="24"/>
      <w:szCs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Fred Hutchinson Cancer Center</Company>
  <Paragraphs>41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[Prot 705] Single-Cell RNA-seq Analysis Pipeline</dc:title>
  <dc:subject>Yeh Lab computational methods, 700s series</dc:subject>
  <dc:creator>Yeh MD, Albert C</dc:creator>
  <cp:lastModifiedBy>Yeh MD, Albert C</cp:lastModifiedBy>
  <dc:description>QC, doublets, receptor-masked HVG selection, clustering and two-stage annotation.</dc:description>
  <dcterms:created xsi:type="dcterms:W3CDTF">2026-09-11T00:00:00Z</dcterms:created>
  <dcterms:modified xsi:type="dcterms:W3CDTF">2026-09-11T00:00:00Z</dcterms:modified>
  <cp:revision>1</cp:revision>
</cp:coreProperties>
</file>