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8"/>
          <w:szCs w:val="28"/>
        </w:rPr>
        <w:t xml:space="preserve">[Prot 707] The Reagent Inventory and its Two-Way Sync</w:t>
      </w:r>
    </w:p>
    <w:p>
      <w:pPr>
        <w:spacing w:after="120"/>
      </w:pPr>
      <w:r>
        <w:t xml:space="preserve">Written 9/11/26 by Albert Yeh. Read from admin/yeh_reagents_build and internal/reagents.html.</w:t>
      </w:r>
    </w:p>
    <w:p>
      <w:pPr>
        <w:pStyle w:val="Heading2"/>
        <w:spacing w:before="240" w:after="80"/>
      </w:pPr>
      <w:r>
        <w:rPr>
          <w:b/>
        </w:rPr>
        <w:t xml:space="preserve">Notes: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Reagents page and /fh/fast/yeh_a/grp/reagents/My Lab.xlsx are two views of ONE dataset. Edit either. A job reconciles them every 15 minutes, 7am to 8pm.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freezer model is: rack &gt; a 4x4 grid of box slots (A1–D4) &gt; a 9x9 cryobox (A1–I9). A shelf holds five racks, counting from the top, so shelf = ceiling(rack / 5).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Box addresses like 16B4 mean rack 16, column B, row 4.</w:t>
      </w:r>
    </w:p>
    <w:p>
      <w:pPr>
        <w:pStyle w:val="Heading2"/>
        <w:spacing w:before="240" w:after="80"/>
      </w:pPr>
      <w:r>
        <w:rPr>
          <w:b/>
        </w:rPr>
        <w:t xml:space="preserve">The rules — breaking any of these loses data: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DO NOT DELETE THE HIDDEN RID COLUMN in any [Storage] sheet. It is the only thing that matches a spreadsheet row to a web record. Row order does not matter and inserting a column is safe, because the column is found by its header text each run.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Rows typed in Excel get an R-series id; records created on the page get a W-series id. The two allocators cannot collide.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Never open the workbook with a formula-flattening read and save it back. That replaces the seven live formulas with their cached values. It is the single most damaging thing that can be done to this file.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sync refuses to write while Excel holds the workbook open. Close it when you are done editing.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sync_baseline.json records the last state the two sides agreed on. Without it the merge cannot tell an edit from a deletion, and every difference becomes a conflict. Do not delete it.</w:t>
      </w:r>
    </w:p>
    <w:p>
      <w:pPr>
        <w:pStyle w:val="Heading2"/>
        <w:spacing w:before="240" w:after="80"/>
      </w:pPr>
      <w:r>
        <w:rPr>
          <w:b/>
        </w:rPr>
        <w:t xml:space="preserve">Conflicts: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If the same reagent changed on both sides since the last sync, the WEBSITE version wins and the spreadsheet version is preserved in conflicts.json and e-mailed.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reasoning: an overwritten Excel cell is simply gone, whereas the web record keeps its history.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An exit code of 2 from the sync means a conflict, not a failure. The wrapper mails and still marks the job healthy.</w:t>
      </w:r>
    </w:p>
    <w:p>
      <w:pPr>
        <w:pStyle w:val="Heading2"/>
        <w:spacing w:before="240" w:after="80"/>
      </w:pPr>
      <w:r>
        <w:rPr>
          <w:b/>
        </w:rPr>
        <w:t xml:space="preserve">Box owners: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A box can be tagged with the person it belongs to — the “Belongs to” field in the box panel. Each tag in use becomes its own tab showing only that person's boxes.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tag is on the BOX, not on the contents, because a box is a shelf address one person keeps and it may hold rows filed on sheets that have no owner column at all.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Tag a box only if it is genuinely that person's. A box holding a dozen shared lab reagents and two of theirs is shared, and tagging it puts the lab's own material on their tab.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Owner tags, box labels and box notes have no spreadsheet column. They live only in the page's data and the sync carries them through untouched.</w:t>
      </w:r>
    </w:p>
    <w:p>
      <w:pPr>
        <w:pStyle w:val="Heading2"/>
        <w:spacing w:before="240" w:after="80"/>
      </w:pPr>
      <w:r>
        <w:rPr>
          <w:b/>
        </w:rPr>
        <w:t xml:space="preserve">Where the data lives: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reagents-data.json in the PRIVATE repository acyeh-lab/lab-reagents. Its own repository, so a student's token can reach reagents and nothing else — see [Prot 701].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Not to be confused with lab-reagents-data.json, which is the FLOW ANTIBODY inventory behind the Flow tab and still lives in acyeh-lab/lab-internal. Different feature, similar name.</w:t>
      </w:r>
    </w:p>
    <w:p>
      <w:pPr>
        <w:pStyle w:val="Heading2"/>
        <w:spacing w:before="240" w:after="80"/>
      </w:pPr>
      <w:r>
        <w:rPr>
          <w:b/>
        </w:rPr>
        <w:t xml:space="preserve">Running the sync by hand: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cd /fh/fast/yeh_a/grp/admin/yeh_reagents_build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python3 sync_reagents.py — a DRY RUN. Prints what it would do and writes nothing.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./run_reagents_sync.sh — the real thing: pulls, syncs, writes the workbook (backing it up first), publishes, and touches the heartbeat.</w:t>
      </w:r>
    </w:p>
    <w:p>
      <w:pPr>
        <w:pStyle w:val="Heading2"/>
        <w:spacing w:before="240" w:after="80"/>
      </w:pPr>
      <w:r>
        <w:rPr>
          <w:b/>
        </w:rPr>
        <w:t xml:space="preserve">Not specified in this protocol: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Whether grp/reagents/My Lab.xlsx is the only master copy. If someone edits a copy elsewhere and copies it over the top, the RID column is lost and identities are re-seeded.</w:t>
      </w:r>
    </w:p>
    <w:p>
      <w:pPr>
        <w:pStyle w:val="Heading2"/>
        <w:spacing w:before="240" w:after="80"/>
      </w:pPr>
      <w:r>
        <w:rPr>
          <w:b/>
        </w:rPr>
        <w:t xml:space="preserve">Source:</w:t>
      </w:r>
    </w:p>
    <w:p>
      <w:pPr>
        <w:spacing w:after="120"/>
      </w:pPr>
      <w:r>
        <w:rPr>
          <w:i/>
        </w:rPr>
        <w:t xml:space="preserve">/fh/fast/yeh_a/grp/admin/yeh_reagents_build — reagent_model.py, reagent_xlsx.py, sync_reagents.py, run_reagents_sync.sh — and the page internal/reagents.html. The formula-flattening trap and the unlabelled-column trap were both found by cell-by-cell diff against a copy of the real workbook.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</w:abstractNum>
  <w:abstractNum w:abstractNumId="1">
    <w:multiLevelType w:val="hybridMultilevel"/>
    <w:lvl w:ilvl="0">
      <w:start w:val="1"/>
      <w:numFmt w:val="bullet"/>
      <w:lvlText w:val="•"/>
      <w:lvlJc w:val="left"/>
    </w:lvl>
    <w:lvl w:ilvl="1">
      <w:start w:val="1"/>
      <w:numFmt w:val="bullet"/>
      <w:lvlText w:val="o"/>
      <w:lvlJc w:val="left"/>
    </w:lvl>
    <w:lvl w:ilvl="2">
      <w:start w:val="1"/>
      <w:numFmt w:val="bullet"/>
      <w:lvlText w:val="▪"/>
      <w:lvlJc w:val="left"/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2">
    <w:name w:val="heading 2"/>
    <w:basedOn w:val="Normal"/>
    <w:qFormat/>
    <w:pPr>
      <w:outlineLvl w:val="1"/>
    </w:pPr>
    <w:rPr>
      <w:b/>
      <w:sz w:val="24"/>
      <w:szCs w:val="24"/>
    </w:rPr>
  </w:style>
  <w:style w:type="paragraph" w:styleId="ListParagraph">
    <w:name w:val="List Paragraph"/>
    <w:basedOn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Fred Hutchinson Cancer Center</Company>
  <Paragraphs>32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[Prot 707] The Reagent Inventory and its Two-Way Sync</dc:title>
  <dc:subject>Yeh Lab computational methods, 700s series</dc:subject>
  <dc:creator>Yeh MD, Albert C</dc:creator>
  <cp:lastModifiedBy>Yeh MD, Albert C</cp:lastModifiedBy>
  <dc:description>How the Reagents page and My Lab.xlsx stay the same data, and the rules that keep them so.</dc:description>
  <dcterms:created xsi:type="dcterms:W3CDTF">2026-09-11T00:00:00Z</dcterms:created>
  <dcterms:modified xsi:type="dcterms:W3CDTF">2026-09-11T00:00:00Z</dcterms:modified>
  <cp:revision>1</cp:revision>
</cp:coreProperties>
</file>