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86C4" w14:textId="77777777" w:rsidR="00E8466A" w:rsidRPr="00E8466A" w:rsidRDefault="00E8466A" w:rsidP="00E8466A">
      <w:pPr>
        <w:rPr>
          <w:lang w:val="en-US"/>
        </w:rPr>
      </w:pPr>
      <w:r w:rsidRPr="00E8466A">
        <w:rPr>
          <w:lang w:val="en-US"/>
        </w:rPr>
        <w:t># A Structured Literature Review: CNN Interpretability for Classification with Focus on Grad-CAM and LIME</w:t>
      </w:r>
    </w:p>
    <w:p w14:paraId="237DD536" w14:textId="77777777" w:rsidR="00E8466A" w:rsidRPr="00E8466A" w:rsidRDefault="00E8466A" w:rsidP="00E8466A">
      <w:pPr>
        <w:rPr>
          <w:lang w:val="en-US"/>
        </w:rPr>
      </w:pPr>
    </w:p>
    <w:p w14:paraId="2D694173" w14:textId="77777777" w:rsidR="00E8466A" w:rsidRPr="00E8466A" w:rsidRDefault="00E8466A" w:rsidP="00E8466A">
      <w:pPr>
        <w:rPr>
          <w:lang w:val="en-US"/>
        </w:rPr>
      </w:pPr>
      <w:r w:rsidRPr="00E8466A">
        <w:rPr>
          <w:lang w:val="en-US"/>
        </w:rPr>
        <w:t>## 1. Introduction</w:t>
      </w:r>
    </w:p>
    <w:p w14:paraId="3A00A189" w14:textId="77777777" w:rsidR="00E8466A" w:rsidRPr="00E8466A" w:rsidRDefault="00E8466A" w:rsidP="00E8466A">
      <w:pPr>
        <w:rPr>
          <w:lang w:val="en-US"/>
        </w:rPr>
      </w:pPr>
    </w:p>
    <w:p w14:paraId="4541C68E" w14:textId="77777777" w:rsidR="00E8466A" w:rsidRPr="00E8466A" w:rsidRDefault="00E8466A" w:rsidP="00E8466A">
      <w:pPr>
        <w:rPr>
          <w:lang w:val="en-US"/>
        </w:rPr>
      </w:pPr>
      <w:r w:rsidRPr="00E8466A">
        <w:rPr>
          <w:lang w:val="en-US"/>
        </w:rPr>
        <w:t>The rapid advancement of Convolutional Neural Networks (CNNs) in image classification has created an urgent need for interpretable AI systems. While CNNs achieve remarkable accuracy across diverse domains, their "black-box" nature poses significant challenges for understanding decision-making processes (</w:t>
      </w:r>
      <w:proofErr w:type="spellStart"/>
      <w:r w:rsidRPr="00E8466A">
        <w:rPr>
          <w:lang w:val="en-US"/>
        </w:rPr>
        <w:t>Ramprasaath</w:t>
      </w:r>
      <w:proofErr w:type="spellEnd"/>
      <w:r w:rsidRPr="00E8466A">
        <w:rPr>
          <w:lang w:val="en-US"/>
        </w:rPr>
        <w:t xml:space="preserve"> R. Selvaraju et al., </w:t>
      </w:r>
      <w:proofErr w:type="gramStart"/>
      <w:r w:rsidRPr="00E8466A">
        <w:rPr>
          <w:lang w:val="en-US"/>
        </w:rPr>
        <w:t>2016)(</w:t>
      </w:r>
      <w:proofErr w:type="gramEnd"/>
      <w:r w:rsidRPr="00E8466A">
        <w:rPr>
          <w:lang w:val="en-US"/>
        </w:rPr>
        <w:t xml:space="preserve">Ann-Kristin </w:t>
      </w:r>
      <w:proofErr w:type="spellStart"/>
      <w:r w:rsidRPr="00E8466A">
        <w:rPr>
          <w:lang w:val="en-US"/>
        </w:rPr>
        <w:t>Balve</w:t>
      </w:r>
      <w:proofErr w:type="spellEnd"/>
      <w:r w:rsidRPr="00E8466A">
        <w:rPr>
          <w:lang w:val="en-US"/>
        </w:rPr>
        <w:t xml:space="preserve"> et al., 2024). This literature review examines key works in CNN interpretability, focusing on Gradient-weighted Class Activation Mapping (Grad-CAM) and Local Interpretable Model-Agnostic Explanations (LIME) techniques.</w:t>
      </w:r>
    </w:p>
    <w:p w14:paraId="076B21DC" w14:textId="77777777" w:rsidR="00E8466A" w:rsidRPr="00E8466A" w:rsidRDefault="00E8466A" w:rsidP="00E8466A">
      <w:pPr>
        <w:rPr>
          <w:lang w:val="en-US"/>
        </w:rPr>
      </w:pPr>
    </w:p>
    <w:p w14:paraId="33FEBA75" w14:textId="77777777" w:rsidR="00E8466A" w:rsidRPr="00E8466A" w:rsidRDefault="00E8466A" w:rsidP="00E8466A">
      <w:pPr>
        <w:rPr>
          <w:lang w:val="en-US"/>
        </w:rPr>
      </w:pPr>
      <w:r w:rsidRPr="00E8466A">
        <w:rPr>
          <w:lang w:val="en-US"/>
        </w:rPr>
        <w:t>## 2. Foundational Methods and Key Works</w:t>
      </w:r>
    </w:p>
    <w:p w14:paraId="4E43E38F" w14:textId="77777777" w:rsidR="00E8466A" w:rsidRPr="00E8466A" w:rsidRDefault="00E8466A" w:rsidP="00E8466A">
      <w:pPr>
        <w:rPr>
          <w:lang w:val="en-US"/>
        </w:rPr>
      </w:pPr>
    </w:p>
    <w:p w14:paraId="1D7DC29D" w14:textId="77777777" w:rsidR="00E8466A" w:rsidRPr="00E8466A" w:rsidRDefault="00E8466A" w:rsidP="00E8466A">
      <w:pPr>
        <w:rPr>
          <w:lang w:val="en-US"/>
        </w:rPr>
      </w:pPr>
      <w:r w:rsidRPr="00E8466A">
        <w:rPr>
          <w:lang w:val="en-US"/>
        </w:rPr>
        <w:t>### 2.1 Grad-CAM: The Cornerstone Technique</w:t>
      </w:r>
    </w:p>
    <w:p w14:paraId="7C9FB675" w14:textId="77777777" w:rsidR="00E8466A" w:rsidRPr="00E8466A" w:rsidRDefault="00E8466A" w:rsidP="00E8466A">
      <w:pPr>
        <w:rPr>
          <w:lang w:val="en-US"/>
        </w:rPr>
      </w:pPr>
    </w:p>
    <w:p w14:paraId="162793E7" w14:textId="77777777" w:rsidR="00E8466A" w:rsidRPr="00E8466A" w:rsidRDefault="00E8466A" w:rsidP="00E8466A">
      <w:pPr>
        <w:rPr>
          <w:lang w:val="en-US"/>
        </w:rPr>
      </w:pPr>
      <w:r w:rsidRPr="00E8466A">
        <w:rPr>
          <w:lang w:val="en-US"/>
        </w:rPr>
        <w:t>The seminal work by (</w:t>
      </w:r>
      <w:proofErr w:type="spellStart"/>
      <w:r w:rsidRPr="00E8466A">
        <w:rPr>
          <w:lang w:val="en-US"/>
        </w:rPr>
        <w:t>Ramprasaath</w:t>
      </w:r>
      <w:proofErr w:type="spellEnd"/>
      <w:r w:rsidRPr="00E8466A">
        <w:rPr>
          <w:lang w:val="en-US"/>
        </w:rPr>
        <w:t xml:space="preserve"> R. Selvaraju et al., 2016) introduced Grad-CAM as a technique for producing visual explanations from deep networks via gradient-based localization. This method uses gradients of target concepts flowing into the final convolutional layer to produce coarse localization maps highlighting important regions. Grad-CAM's key advantage lies in its broad applicability to various CNN architectures without requiring architectural changes or re-training.</w:t>
      </w:r>
    </w:p>
    <w:p w14:paraId="0761BFE4" w14:textId="77777777" w:rsidR="00E8466A" w:rsidRPr="00E8466A" w:rsidRDefault="00E8466A" w:rsidP="00E8466A">
      <w:pPr>
        <w:rPr>
          <w:lang w:val="en-US"/>
        </w:rPr>
      </w:pPr>
    </w:p>
    <w:p w14:paraId="4C0B3F6E" w14:textId="77777777" w:rsidR="00E8466A" w:rsidRPr="00E8466A" w:rsidRDefault="00E8466A" w:rsidP="00E8466A">
      <w:pPr>
        <w:rPr>
          <w:lang w:val="en-US"/>
        </w:rPr>
      </w:pPr>
      <w:r w:rsidRPr="00E8466A">
        <w:rPr>
          <w:lang w:val="en-US"/>
        </w:rPr>
        <w:t>### 2.2 LIME and Alternative Approaches</w:t>
      </w:r>
    </w:p>
    <w:p w14:paraId="668D423D" w14:textId="77777777" w:rsidR="00E8466A" w:rsidRPr="00E8466A" w:rsidRDefault="00E8466A" w:rsidP="00E8466A">
      <w:pPr>
        <w:rPr>
          <w:lang w:val="en-US"/>
        </w:rPr>
      </w:pPr>
    </w:p>
    <w:p w14:paraId="543311D9" w14:textId="77777777" w:rsidR="00E8466A" w:rsidRPr="00E8466A" w:rsidRDefault="00E8466A" w:rsidP="00E8466A">
      <w:pPr>
        <w:rPr>
          <w:lang w:val="en-US"/>
        </w:rPr>
      </w:pPr>
      <w:r w:rsidRPr="00E8466A">
        <w:rPr>
          <w:lang w:val="en-US"/>
        </w:rPr>
        <w:t xml:space="preserve">LIME provides local interpretable model-agnostic explanations by approximating complex classifiers with interpretable local models (Ann-Kristin </w:t>
      </w:r>
      <w:proofErr w:type="spellStart"/>
      <w:r w:rsidRPr="00E8466A">
        <w:rPr>
          <w:lang w:val="en-US"/>
        </w:rPr>
        <w:t>Balve</w:t>
      </w:r>
      <w:proofErr w:type="spellEnd"/>
      <w:r w:rsidRPr="00E8466A">
        <w:rPr>
          <w:lang w:val="en-US"/>
        </w:rPr>
        <w:t xml:space="preserve"> et al., 2024). The technique generates perturbated samples near the original data point to train local linear models that approximate the complex classifier's behavior in specific neighborhoods.</w:t>
      </w:r>
    </w:p>
    <w:p w14:paraId="46409D0E" w14:textId="77777777" w:rsidR="00E8466A" w:rsidRPr="00E8466A" w:rsidRDefault="00E8466A" w:rsidP="00E8466A">
      <w:pPr>
        <w:rPr>
          <w:lang w:val="en-US"/>
        </w:rPr>
      </w:pPr>
    </w:p>
    <w:p w14:paraId="37D5F927" w14:textId="77777777" w:rsidR="00E8466A" w:rsidRPr="00E8466A" w:rsidRDefault="00E8466A" w:rsidP="00E8466A">
      <w:pPr>
        <w:rPr>
          <w:lang w:val="en-US"/>
        </w:rPr>
      </w:pPr>
      <w:r w:rsidRPr="00E8466A">
        <w:rPr>
          <w:lang w:val="en-US"/>
        </w:rPr>
        <w:t>## 3. Comparative Analysis of Existing Approaches</w:t>
      </w:r>
    </w:p>
    <w:p w14:paraId="26C4298E" w14:textId="77777777" w:rsidR="00E8466A" w:rsidRPr="00E8466A" w:rsidRDefault="00E8466A" w:rsidP="00E8466A">
      <w:pPr>
        <w:rPr>
          <w:lang w:val="en-US"/>
        </w:rPr>
      </w:pPr>
    </w:p>
    <w:p w14:paraId="4E7B0500" w14:textId="77777777" w:rsidR="00E8466A" w:rsidRPr="00E8466A" w:rsidRDefault="00E8466A" w:rsidP="00E8466A">
      <w:pPr>
        <w:rPr>
          <w:lang w:val="en-US"/>
        </w:rPr>
      </w:pPr>
      <w:r w:rsidRPr="00E8466A">
        <w:rPr>
          <w:lang w:val="en-US"/>
        </w:rPr>
        <w:t>### 3.1 Performance Comparisons</w:t>
      </w:r>
    </w:p>
    <w:p w14:paraId="607BB7BA" w14:textId="77777777" w:rsidR="00E8466A" w:rsidRPr="00E8466A" w:rsidRDefault="00E8466A" w:rsidP="00E8466A">
      <w:pPr>
        <w:rPr>
          <w:lang w:val="en-US"/>
        </w:rPr>
      </w:pPr>
    </w:p>
    <w:p w14:paraId="0544358A" w14:textId="77777777" w:rsidR="00E8466A" w:rsidRPr="00E8466A" w:rsidRDefault="00E8466A" w:rsidP="00E8466A">
      <w:pPr>
        <w:rPr>
          <w:lang w:val="en-US"/>
        </w:rPr>
      </w:pPr>
      <w:r w:rsidRPr="00E8466A">
        <w:rPr>
          <w:lang w:val="en-US"/>
        </w:rPr>
        <w:t xml:space="preserve">Multiple studies have directly compared Grad-CAM and LIME across different metrics. (David Cian et al., 2020) found that Grad-CAM generally outperforms LIME on LEGO multi-label image </w:t>
      </w:r>
      <w:r w:rsidRPr="00E8466A">
        <w:rPr>
          <w:lang w:val="en-US"/>
        </w:rPr>
        <w:lastRenderedPageBreak/>
        <w:t xml:space="preserve">classification tasks, with 80% of respondents choosing Grad-CAM over LIME for trustworthiness. Similarly, (Ann-Kristin </w:t>
      </w:r>
      <w:proofErr w:type="spellStart"/>
      <w:r w:rsidRPr="00E8466A">
        <w:rPr>
          <w:lang w:val="en-US"/>
        </w:rPr>
        <w:t>Balve</w:t>
      </w:r>
      <w:proofErr w:type="spellEnd"/>
      <w:r w:rsidRPr="00E8466A">
        <w:rPr>
          <w:lang w:val="en-US"/>
        </w:rPr>
        <w:t xml:space="preserve"> et al., 2024) demonstrated Grad-CAM's superior performance in breast cancer classification, providing comprehensive insights into CNN behavior while revealing distinctive patterns in normal, benign, and malignant breast tissue.</w:t>
      </w:r>
    </w:p>
    <w:p w14:paraId="24C68FE1" w14:textId="77777777" w:rsidR="00E8466A" w:rsidRPr="00E8466A" w:rsidRDefault="00E8466A" w:rsidP="00E8466A">
      <w:pPr>
        <w:rPr>
          <w:lang w:val="en-US"/>
        </w:rPr>
      </w:pPr>
    </w:p>
    <w:p w14:paraId="708A6CAC" w14:textId="77777777" w:rsidR="00E8466A" w:rsidRPr="00E8466A" w:rsidRDefault="00E8466A" w:rsidP="00E8466A">
      <w:pPr>
        <w:rPr>
          <w:lang w:val="en-US"/>
        </w:rPr>
      </w:pPr>
      <w:r w:rsidRPr="00E8466A">
        <w:rPr>
          <w:lang w:val="en-US"/>
        </w:rPr>
        <w:t>### 3.2 Computational Efficiency</w:t>
      </w:r>
    </w:p>
    <w:p w14:paraId="0977FCB2" w14:textId="77777777" w:rsidR="00E8466A" w:rsidRPr="00E8466A" w:rsidRDefault="00E8466A" w:rsidP="00E8466A">
      <w:pPr>
        <w:rPr>
          <w:lang w:val="en-US"/>
        </w:rPr>
      </w:pPr>
    </w:p>
    <w:p w14:paraId="5B25F607" w14:textId="77777777" w:rsidR="00E8466A" w:rsidRPr="00E8466A" w:rsidRDefault="00E8466A" w:rsidP="00E8466A">
      <w:pPr>
        <w:rPr>
          <w:lang w:val="en-US"/>
        </w:rPr>
      </w:pPr>
      <w:r w:rsidRPr="00E8466A">
        <w:rPr>
          <w:lang w:val="en-US"/>
        </w:rPr>
        <w:t xml:space="preserve">A critical practical consideration is computational efficiency. (Ann-Kristin </w:t>
      </w:r>
      <w:proofErr w:type="spellStart"/>
      <w:r w:rsidRPr="00E8466A">
        <w:rPr>
          <w:lang w:val="en-US"/>
        </w:rPr>
        <w:t>Balve</w:t>
      </w:r>
      <w:proofErr w:type="spellEnd"/>
      <w:r w:rsidRPr="00E8466A">
        <w:rPr>
          <w:lang w:val="en-US"/>
        </w:rPr>
        <w:t xml:space="preserve"> et al., 2024) reported significant differences in processing times: Grad-CAM required only 0.29 seconds per image, while LIME needed 50.5 seconds per image. This substantial difference makes Grad-CAM more suitable for real-time clinical applications.</w:t>
      </w:r>
    </w:p>
    <w:p w14:paraId="5A5C61AD" w14:textId="77777777" w:rsidR="00E8466A" w:rsidRPr="00E8466A" w:rsidRDefault="00E8466A" w:rsidP="00E8466A">
      <w:pPr>
        <w:rPr>
          <w:lang w:val="en-US"/>
        </w:rPr>
      </w:pPr>
    </w:p>
    <w:p w14:paraId="251C22B5" w14:textId="77777777" w:rsidR="00E8466A" w:rsidRPr="00E8466A" w:rsidRDefault="00E8466A" w:rsidP="00E8466A">
      <w:pPr>
        <w:rPr>
          <w:lang w:val="en-US"/>
        </w:rPr>
      </w:pPr>
      <w:r w:rsidRPr="00E8466A">
        <w:rPr>
          <w:lang w:val="en-US"/>
        </w:rPr>
        <w:t>### 3.3 Robustness and Consistency</w:t>
      </w:r>
    </w:p>
    <w:p w14:paraId="436C5312" w14:textId="77777777" w:rsidR="00E8466A" w:rsidRPr="00E8466A" w:rsidRDefault="00E8466A" w:rsidP="00E8466A">
      <w:pPr>
        <w:rPr>
          <w:lang w:val="en-US"/>
        </w:rPr>
      </w:pPr>
    </w:p>
    <w:p w14:paraId="2DBBA0CC" w14:textId="77777777" w:rsidR="00E8466A" w:rsidRPr="00E8466A" w:rsidRDefault="00E8466A" w:rsidP="00E8466A">
      <w:pPr>
        <w:rPr>
          <w:lang w:val="en-US"/>
        </w:rPr>
      </w:pPr>
      <w:r w:rsidRPr="00E8466A">
        <w:rPr>
          <w:lang w:val="en-US"/>
        </w:rPr>
        <w:t xml:space="preserve">(Ann-Kristin </w:t>
      </w:r>
      <w:proofErr w:type="spellStart"/>
      <w:r w:rsidRPr="00E8466A">
        <w:rPr>
          <w:lang w:val="en-US"/>
        </w:rPr>
        <w:t>Balve</w:t>
      </w:r>
      <w:proofErr w:type="spellEnd"/>
      <w:r w:rsidRPr="00E8466A">
        <w:rPr>
          <w:lang w:val="en-US"/>
        </w:rPr>
        <w:t xml:space="preserve"> et al., 2024) evaluated robustness by examining explanation consistency across multiple runs. While Grad-CAM provides deterministic explanations, LIME and SHAP are sampling-based techniques that produce variable results between runs, with LIME showing substantial variability that could undermine clinical trust.</w:t>
      </w:r>
    </w:p>
    <w:p w14:paraId="121481FC" w14:textId="77777777" w:rsidR="00E8466A" w:rsidRPr="00E8466A" w:rsidRDefault="00E8466A" w:rsidP="00E8466A">
      <w:pPr>
        <w:rPr>
          <w:lang w:val="en-US"/>
        </w:rPr>
      </w:pPr>
    </w:p>
    <w:p w14:paraId="37CB6C26" w14:textId="77777777" w:rsidR="00E8466A" w:rsidRPr="00E8466A" w:rsidRDefault="00E8466A" w:rsidP="00E8466A">
      <w:pPr>
        <w:rPr>
          <w:lang w:val="en-US"/>
        </w:rPr>
      </w:pPr>
      <w:r w:rsidRPr="00E8466A">
        <w:rPr>
          <w:lang w:val="en-US"/>
        </w:rPr>
        <w:t>## 4. Domain-Specific Applications and Datasets</w:t>
      </w:r>
    </w:p>
    <w:p w14:paraId="1200D236" w14:textId="77777777" w:rsidR="00E8466A" w:rsidRPr="00E8466A" w:rsidRDefault="00E8466A" w:rsidP="00E8466A">
      <w:pPr>
        <w:rPr>
          <w:lang w:val="en-US"/>
        </w:rPr>
      </w:pPr>
    </w:p>
    <w:p w14:paraId="448D2461" w14:textId="77777777" w:rsidR="00E8466A" w:rsidRPr="00E8466A" w:rsidRDefault="00E8466A" w:rsidP="00E8466A">
      <w:pPr>
        <w:rPr>
          <w:lang w:val="en-US"/>
        </w:rPr>
      </w:pPr>
      <w:r w:rsidRPr="00E8466A">
        <w:rPr>
          <w:lang w:val="en-US"/>
        </w:rPr>
        <w:t>### 4.1 Medical Imaging</w:t>
      </w:r>
    </w:p>
    <w:p w14:paraId="75B97101" w14:textId="77777777" w:rsidR="00E8466A" w:rsidRPr="00E8466A" w:rsidRDefault="00E8466A" w:rsidP="00E8466A">
      <w:pPr>
        <w:rPr>
          <w:lang w:val="en-US"/>
        </w:rPr>
      </w:pPr>
    </w:p>
    <w:p w14:paraId="66313669" w14:textId="77777777" w:rsidR="00E8466A" w:rsidRPr="00E8466A" w:rsidRDefault="00E8466A" w:rsidP="00E8466A">
      <w:pPr>
        <w:rPr>
          <w:lang w:val="en-US"/>
        </w:rPr>
      </w:pPr>
      <w:r w:rsidRPr="00E8466A">
        <w:rPr>
          <w:lang w:val="en-US"/>
        </w:rPr>
        <w:t xml:space="preserve">The medical domain represents a critical application area for interpretable CNNs. (Ann-Kristin </w:t>
      </w:r>
      <w:proofErr w:type="spellStart"/>
      <w:r w:rsidRPr="00E8466A">
        <w:rPr>
          <w:lang w:val="en-US"/>
        </w:rPr>
        <w:t>Balve</w:t>
      </w:r>
      <w:proofErr w:type="spellEnd"/>
      <w:r w:rsidRPr="00E8466A">
        <w:rPr>
          <w:lang w:val="en-US"/>
        </w:rPr>
        <w:t xml:space="preserve"> et al., 2024) applied interpretability techniques to the Mammographic Image Analysis Society (MIAS) dataset, containing 322 mammographic images classified as normal, benign, or malignant. Their preprocessing included noise removal, contrast enhancement using CLAHE, and ROI extraction, demonstrating the importance of domain-specific data preparation.</w:t>
      </w:r>
    </w:p>
    <w:p w14:paraId="09014E83" w14:textId="77777777" w:rsidR="00E8466A" w:rsidRPr="00E8466A" w:rsidRDefault="00E8466A" w:rsidP="00E8466A">
      <w:pPr>
        <w:rPr>
          <w:lang w:val="en-US"/>
        </w:rPr>
      </w:pPr>
    </w:p>
    <w:p w14:paraId="122DAE71" w14:textId="77777777" w:rsidR="00E8466A" w:rsidRPr="00E8466A" w:rsidRDefault="00E8466A" w:rsidP="00E8466A">
      <w:pPr>
        <w:rPr>
          <w:lang w:val="en-US"/>
        </w:rPr>
      </w:pPr>
      <w:r w:rsidRPr="00E8466A">
        <w:rPr>
          <w:lang w:val="en-US"/>
        </w:rPr>
        <w:t>### 4.2 Industrial Applications</w:t>
      </w:r>
    </w:p>
    <w:p w14:paraId="7D89D706" w14:textId="77777777" w:rsidR="00E8466A" w:rsidRPr="00E8466A" w:rsidRDefault="00E8466A" w:rsidP="00E8466A">
      <w:pPr>
        <w:rPr>
          <w:lang w:val="en-US"/>
        </w:rPr>
      </w:pPr>
    </w:p>
    <w:p w14:paraId="2C0B074E" w14:textId="77777777" w:rsidR="00E8466A" w:rsidRPr="00E8466A" w:rsidRDefault="00E8466A" w:rsidP="00E8466A">
      <w:pPr>
        <w:rPr>
          <w:lang w:val="en-US"/>
        </w:rPr>
      </w:pPr>
      <w:r w:rsidRPr="00E8466A">
        <w:rPr>
          <w:lang w:val="en-US"/>
        </w:rPr>
        <w:t>(Alexander Sieradzki et al., 2025) explored CNN interpretability in industrial settings, specifically for drilled hole classification in melamine-faced chipboard using VGG16. This work demonstrates the broader applicability of interpretability techniques beyond traditional computer vision tasks.</w:t>
      </w:r>
    </w:p>
    <w:p w14:paraId="3E23F435" w14:textId="77777777" w:rsidR="00E8466A" w:rsidRPr="00E8466A" w:rsidRDefault="00E8466A" w:rsidP="00E8466A">
      <w:pPr>
        <w:rPr>
          <w:lang w:val="en-US"/>
        </w:rPr>
      </w:pPr>
    </w:p>
    <w:p w14:paraId="045C69ED" w14:textId="77777777" w:rsidR="00E8466A" w:rsidRPr="00E8466A" w:rsidRDefault="00E8466A" w:rsidP="00E8466A">
      <w:pPr>
        <w:rPr>
          <w:lang w:val="en-US"/>
        </w:rPr>
      </w:pPr>
      <w:r w:rsidRPr="00E8466A">
        <w:rPr>
          <w:lang w:val="en-US"/>
        </w:rPr>
        <w:t>### 4.3 General Computer Vision</w:t>
      </w:r>
    </w:p>
    <w:p w14:paraId="68586650" w14:textId="77777777" w:rsidR="00E8466A" w:rsidRPr="00E8466A" w:rsidRDefault="00E8466A" w:rsidP="00E8466A">
      <w:pPr>
        <w:rPr>
          <w:lang w:val="en-US"/>
        </w:rPr>
      </w:pPr>
    </w:p>
    <w:p w14:paraId="2259F444" w14:textId="77777777" w:rsidR="00E8466A" w:rsidRPr="00E8466A" w:rsidRDefault="00E8466A" w:rsidP="00E8466A">
      <w:pPr>
        <w:rPr>
          <w:lang w:val="en-US"/>
        </w:rPr>
      </w:pPr>
      <w:r w:rsidRPr="00E8466A">
        <w:rPr>
          <w:lang w:val="en-US"/>
        </w:rPr>
        <w:t xml:space="preserve">(David Cian et al., 2020) evaluated interpretability methods on LEGO brick classification, while (Helia Farhood et al., 2023) examined fish image classification using </w:t>
      </w:r>
      <w:proofErr w:type="spellStart"/>
      <w:r w:rsidRPr="00E8466A">
        <w:rPr>
          <w:lang w:val="en-US"/>
        </w:rPr>
        <w:t>GoogLeNet</w:t>
      </w:r>
      <w:proofErr w:type="spellEnd"/>
      <w:r w:rsidRPr="00E8466A">
        <w:rPr>
          <w:lang w:val="en-US"/>
        </w:rPr>
        <w:t xml:space="preserve"> and </w:t>
      </w:r>
      <w:proofErr w:type="spellStart"/>
      <w:r w:rsidRPr="00E8466A">
        <w:rPr>
          <w:lang w:val="en-US"/>
        </w:rPr>
        <w:t>SqueezeNet</w:t>
      </w:r>
      <w:proofErr w:type="spellEnd"/>
      <w:r w:rsidRPr="00E8466A">
        <w:rPr>
          <w:lang w:val="en-US"/>
        </w:rPr>
        <w:t xml:space="preserve"> architectures, showing the versatility of these techniques across different domains and network architectures.</w:t>
      </w:r>
    </w:p>
    <w:p w14:paraId="6FFC8913" w14:textId="77777777" w:rsidR="00E8466A" w:rsidRPr="00E8466A" w:rsidRDefault="00E8466A" w:rsidP="00E8466A">
      <w:pPr>
        <w:rPr>
          <w:lang w:val="en-US"/>
        </w:rPr>
      </w:pPr>
    </w:p>
    <w:p w14:paraId="46239CD5" w14:textId="77777777" w:rsidR="00E8466A" w:rsidRPr="00E8466A" w:rsidRDefault="00E8466A" w:rsidP="00E8466A">
      <w:pPr>
        <w:rPr>
          <w:lang w:val="en-US"/>
        </w:rPr>
      </w:pPr>
      <w:r w:rsidRPr="00E8466A">
        <w:rPr>
          <w:lang w:val="en-US"/>
        </w:rPr>
        <w:t>## 5. Methodological Advances and Hybrid Approaches</w:t>
      </w:r>
    </w:p>
    <w:p w14:paraId="5F4465D4" w14:textId="77777777" w:rsidR="00E8466A" w:rsidRPr="00E8466A" w:rsidRDefault="00E8466A" w:rsidP="00E8466A">
      <w:pPr>
        <w:rPr>
          <w:lang w:val="en-US"/>
        </w:rPr>
      </w:pPr>
    </w:p>
    <w:p w14:paraId="5E0356AC" w14:textId="77777777" w:rsidR="00E8466A" w:rsidRPr="00E8466A" w:rsidRDefault="00E8466A" w:rsidP="00E8466A">
      <w:pPr>
        <w:rPr>
          <w:lang w:val="en-US"/>
        </w:rPr>
      </w:pPr>
      <w:r w:rsidRPr="00E8466A">
        <w:rPr>
          <w:lang w:val="en-US"/>
        </w:rPr>
        <w:t>### 5.1 Enhanced CAM Techniques</w:t>
      </w:r>
    </w:p>
    <w:p w14:paraId="4120EA76" w14:textId="77777777" w:rsidR="00E8466A" w:rsidRPr="00E8466A" w:rsidRDefault="00E8466A" w:rsidP="00E8466A">
      <w:pPr>
        <w:rPr>
          <w:lang w:val="en-US"/>
        </w:rPr>
      </w:pPr>
    </w:p>
    <w:p w14:paraId="26CF92E0" w14:textId="77777777" w:rsidR="00E8466A" w:rsidRPr="00E8466A" w:rsidRDefault="00E8466A" w:rsidP="00E8466A">
      <w:pPr>
        <w:rPr>
          <w:lang w:val="en-US"/>
        </w:rPr>
      </w:pPr>
      <w:r w:rsidRPr="00E8466A">
        <w:rPr>
          <w:lang w:val="en-US"/>
        </w:rPr>
        <w:t>Several works have proposed improvements to basic CAM methods. (Saeed Iqbal et al., 2023) introduced Adaptive Learning based CAM (AD-CAM), which outperformed Score-CAM and other CAM-based methods by 3.78% to 7.72% according to Average Drop-Coherence-Complexity (ADCC) metrics. (A. K. Singh et al., 2024) proposed Integrative CAM, which fuses insights across all network layers rather than focusing solely on final layer activations.</w:t>
      </w:r>
    </w:p>
    <w:p w14:paraId="04426555" w14:textId="77777777" w:rsidR="00E8466A" w:rsidRPr="00E8466A" w:rsidRDefault="00E8466A" w:rsidP="00E8466A">
      <w:pPr>
        <w:rPr>
          <w:lang w:val="en-US"/>
        </w:rPr>
      </w:pPr>
    </w:p>
    <w:p w14:paraId="02362C13" w14:textId="77777777" w:rsidR="00E8466A" w:rsidRPr="00E8466A" w:rsidRDefault="00E8466A" w:rsidP="00E8466A">
      <w:pPr>
        <w:rPr>
          <w:lang w:val="en-US"/>
        </w:rPr>
      </w:pPr>
      <w:r w:rsidRPr="00E8466A">
        <w:rPr>
          <w:lang w:val="en-US"/>
        </w:rPr>
        <w:t>### 5.2 Hybrid Interpretability Methods</w:t>
      </w:r>
    </w:p>
    <w:p w14:paraId="73457F3C" w14:textId="77777777" w:rsidR="00E8466A" w:rsidRPr="00E8466A" w:rsidRDefault="00E8466A" w:rsidP="00E8466A">
      <w:pPr>
        <w:rPr>
          <w:lang w:val="en-US"/>
        </w:rPr>
      </w:pPr>
    </w:p>
    <w:p w14:paraId="4C2F12B1" w14:textId="77777777" w:rsidR="00E8466A" w:rsidRPr="00E8466A" w:rsidRDefault="00E8466A" w:rsidP="00E8466A">
      <w:pPr>
        <w:rPr>
          <w:lang w:val="en-US"/>
        </w:rPr>
      </w:pPr>
      <w:r w:rsidRPr="00E8466A">
        <w:rPr>
          <w:lang w:val="en-US"/>
        </w:rPr>
        <w:t xml:space="preserve">(Vaibhav Dhore et al., 2024) developed a hybrid approach combining </w:t>
      </w:r>
      <w:proofErr w:type="spellStart"/>
      <w:r w:rsidRPr="00E8466A">
        <w:rPr>
          <w:lang w:val="en-US"/>
        </w:rPr>
        <w:t>GradCAM</w:t>
      </w:r>
      <w:proofErr w:type="spellEnd"/>
      <w:r w:rsidRPr="00E8466A">
        <w:rPr>
          <w:lang w:val="en-US"/>
        </w:rPr>
        <w:t xml:space="preserve"> and Layer-wise Relevance Propagation (LRP). Their method processes </w:t>
      </w:r>
      <w:proofErr w:type="spellStart"/>
      <w:r w:rsidRPr="00E8466A">
        <w:rPr>
          <w:lang w:val="en-US"/>
        </w:rPr>
        <w:t>GradCAM</w:t>
      </w:r>
      <w:proofErr w:type="spellEnd"/>
      <w:r w:rsidRPr="00E8466A">
        <w:rPr>
          <w:lang w:val="en-US"/>
        </w:rPr>
        <w:t xml:space="preserve"> output to remove noise, performs elementwise multiplication with LRP output, and applies Gaussian blur. This hybrid approach demonstrated superior performance in complexity metrics while maintaining competitive performance in other evaluation criteria.</w:t>
      </w:r>
    </w:p>
    <w:p w14:paraId="44ECDE73" w14:textId="77777777" w:rsidR="00E8466A" w:rsidRPr="00E8466A" w:rsidRDefault="00E8466A" w:rsidP="00E8466A">
      <w:pPr>
        <w:rPr>
          <w:lang w:val="en-US"/>
        </w:rPr>
      </w:pPr>
    </w:p>
    <w:p w14:paraId="4E1ECCED" w14:textId="77777777" w:rsidR="00E8466A" w:rsidRPr="00E8466A" w:rsidRDefault="00E8466A" w:rsidP="00E8466A">
      <w:pPr>
        <w:rPr>
          <w:lang w:val="en-US"/>
        </w:rPr>
      </w:pPr>
      <w:r w:rsidRPr="00E8466A">
        <w:rPr>
          <w:lang w:val="en-US"/>
        </w:rPr>
        <w:t>### 5.3 Training-Time Integration</w:t>
      </w:r>
    </w:p>
    <w:p w14:paraId="0EA87033" w14:textId="77777777" w:rsidR="00E8466A" w:rsidRPr="00E8466A" w:rsidRDefault="00E8466A" w:rsidP="00E8466A">
      <w:pPr>
        <w:rPr>
          <w:lang w:val="en-US"/>
        </w:rPr>
      </w:pPr>
    </w:p>
    <w:p w14:paraId="6EE50EAB" w14:textId="77777777" w:rsidR="00E8466A" w:rsidRPr="00E8466A" w:rsidRDefault="00E8466A" w:rsidP="00E8466A">
      <w:pPr>
        <w:rPr>
          <w:lang w:val="en-US"/>
        </w:rPr>
      </w:pPr>
      <w:r w:rsidRPr="00E8466A">
        <w:rPr>
          <w:lang w:val="en-US"/>
        </w:rPr>
        <w:t>(Alfred Schöttl et al., 2020) proposed incorporating (Grad)CAM maps during training by modifying the training loss, demonstrating that interpretability can be enhanced without requiring additional structural elements or post-hoc analysis.</w:t>
      </w:r>
    </w:p>
    <w:p w14:paraId="6470B486" w14:textId="77777777" w:rsidR="00E8466A" w:rsidRPr="00E8466A" w:rsidRDefault="00E8466A" w:rsidP="00E8466A">
      <w:pPr>
        <w:rPr>
          <w:lang w:val="en-US"/>
        </w:rPr>
      </w:pPr>
    </w:p>
    <w:p w14:paraId="52CA6301" w14:textId="77777777" w:rsidR="00E8466A" w:rsidRPr="00E8466A" w:rsidRDefault="00E8466A" w:rsidP="00E8466A">
      <w:pPr>
        <w:rPr>
          <w:lang w:val="en-US"/>
        </w:rPr>
      </w:pPr>
      <w:r w:rsidRPr="00E8466A">
        <w:rPr>
          <w:lang w:val="en-US"/>
        </w:rPr>
        <w:t>## 6. Strengths and Weaknesses Analysis</w:t>
      </w:r>
    </w:p>
    <w:p w14:paraId="3944ED8A" w14:textId="77777777" w:rsidR="00E8466A" w:rsidRPr="00E8466A" w:rsidRDefault="00E8466A" w:rsidP="00E8466A">
      <w:pPr>
        <w:rPr>
          <w:lang w:val="en-US"/>
        </w:rPr>
      </w:pPr>
    </w:p>
    <w:p w14:paraId="2459883F" w14:textId="77777777" w:rsidR="00E8466A" w:rsidRPr="00E8466A" w:rsidRDefault="00E8466A" w:rsidP="00E8466A">
      <w:pPr>
        <w:rPr>
          <w:lang w:val="en-US"/>
        </w:rPr>
      </w:pPr>
      <w:r w:rsidRPr="00E8466A">
        <w:rPr>
          <w:lang w:val="en-US"/>
        </w:rPr>
        <w:t>### 6.1 Grad-CAM Strengths</w:t>
      </w:r>
    </w:p>
    <w:p w14:paraId="19CCACCF" w14:textId="77777777" w:rsidR="00E8466A" w:rsidRPr="00E8466A" w:rsidRDefault="00E8466A" w:rsidP="00E8466A">
      <w:pPr>
        <w:rPr>
          <w:lang w:val="en-US"/>
        </w:rPr>
      </w:pPr>
      <w:r w:rsidRPr="00E8466A">
        <w:rPr>
          <w:lang w:val="en-US"/>
        </w:rPr>
        <w:t>- **Computational efficiency**: Sub-second processing times</w:t>
      </w:r>
    </w:p>
    <w:p w14:paraId="5C0E4575" w14:textId="77777777" w:rsidR="00E8466A" w:rsidRPr="00E8466A" w:rsidRDefault="00E8466A" w:rsidP="00E8466A">
      <w:pPr>
        <w:rPr>
          <w:lang w:val="en-US"/>
        </w:rPr>
      </w:pPr>
      <w:r w:rsidRPr="00E8466A">
        <w:rPr>
          <w:lang w:val="en-US"/>
        </w:rPr>
        <w:t>- **Deterministic outputs**: Consistent explanations across runs</w:t>
      </w:r>
    </w:p>
    <w:p w14:paraId="2A8B858D" w14:textId="77777777" w:rsidR="00E8466A" w:rsidRPr="00E8466A" w:rsidRDefault="00E8466A" w:rsidP="00E8466A">
      <w:pPr>
        <w:rPr>
          <w:lang w:val="en-US"/>
        </w:rPr>
      </w:pPr>
      <w:r w:rsidRPr="00E8466A">
        <w:rPr>
          <w:lang w:val="en-US"/>
        </w:rPr>
        <w:t>- **Broad applicability**: Works with various CNN architectures</w:t>
      </w:r>
    </w:p>
    <w:p w14:paraId="458F4937" w14:textId="77777777" w:rsidR="00E8466A" w:rsidRPr="00E8466A" w:rsidRDefault="00E8466A" w:rsidP="00E8466A">
      <w:pPr>
        <w:rPr>
          <w:lang w:val="en-US"/>
        </w:rPr>
      </w:pPr>
      <w:r w:rsidRPr="00E8466A">
        <w:rPr>
          <w:lang w:val="en-US"/>
        </w:rPr>
        <w:lastRenderedPageBreak/>
        <w:t>- **Class-discriminative**: Effectively distinguishes between different classes</w:t>
      </w:r>
    </w:p>
    <w:p w14:paraId="24F89867" w14:textId="77777777" w:rsidR="00E8466A" w:rsidRPr="00E8466A" w:rsidRDefault="00E8466A" w:rsidP="00E8466A">
      <w:pPr>
        <w:rPr>
          <w:lang w:val="en-US"/>
        </w:rPr>
      </w:pPr>
      <w:r w:rsidRPr="00E8466A">
        <w:rPr>
          <w:lang w:val="en-US"/>
        </w:rPr>
        <w:t>- **Clinical relevance**: Aligns well with domain expert expectations</w:t>
      </w:r>
    </w:p>
    <w:p w14:paraId="6FFB5D97" w14:textId="77777777" w:rsidR="00E8466A" w:rsidRPr="00E8466A" w:rsidRDefault="00E8466A" w:rsidP="00E8466A">
      <w:pPr>
        <w:rPr>
          <w:lang w:val="en-US"/>
        </w:rPr>
      </w:pPr>
    </w:p>
    <w:p w14:paraId="19425036" w14:textId="77777777" w:rsidR="00E8466A" w:rsidRPr="00E8466A" w:rsidRDefault="00E8466A" w:rsidP="00E8466A">
      <w:pPr>
        <w:rPr>
          <w:lang w:val="en-US"/>
        </w:rPr>
      </w:pPr>
      <w:r w:rsidRPr="00E8466A">
        <w:rPr>
          <w:lang w:val="en-US"/>
        </w:rPr>
        <w:t>### 6.2 Grad-CAM Limitations</w:t>
      </w:r>
    </w:p>
    <w:p w14:paraId="200BDFE4" w14:textId="77777777" w:rsidR="00E8466A" w:rsidRPr="00E8466A" w:rsidRDefault="00E8466A" w:rsidP="00E8466A">
      <w:pPr>
        <w:rPr>
          <w:lang w:val="en-US"/>
        </w:rPr>
      </w:pPr>
      <w:r w:rsidRPr="00E8466A">
        <w:rPr>
          <w:lang w:val="en-US"/>
        </w:rPr>
        <w:t>- **Coarse resolution**: Limited fine-grained detail</w:t>
      </w:r>
    </w:p>
    <w:p w14:paraId="0298F11E" w14:textId="77777777" w:rsidR="00E8466A" w:rsidRPr="00E8466A" w:rsidRDefault="00E8466A" w:rsidP="00E8466A">
      <w:pPr>
        <w:rPr>
          <w:lang w:val="en-US"/>
        </w:rPr>
      </w:pPr>
      <w:r w:rsidRPr="00E8466A">
        <w:rPr>
          <w:lang w:val="en-US"/>
        </w:rPr>
        <w:t>- **Final layer focus**: Primarily utilizes last convolutional layer</w:t>
      </w:r>
    </w:p>
    <w:p w14:paraId="4066C3B8" w14:textId="77777777" w:rsidR="00E8466A" w:rsidRPr="00E8466A" w:rsidRDefault="00E8466A" w:rsidP="00E8466A">
      <w:pPr>
        <w:rPr>
          <w:lang w:val="en-US"/>
        </w:rPr>
      </w:pPr>
      <w:r w:rsidRPr="00E8466A">
        <w:rPr>
          <w:lang w:val="en-US"/>
        </w:rPr>
        <w:t>- **Gradient dependency**: Susceptible to gradient noise in deeper networks</w:t>
      </w:r>
    </w:p>
    <w:p w14:paraId="416F500C" w14:textId="77777777" w:rsidR="00E8466A" w:rsidRPr="00E8466A" w:rsidRDefault="00E8466A" w:rsidP="00E8466A">
      <w:pPr>
        <w:rPr>
          <w:lang w:val="en-US"/>
        </w:rPr>
      </w:pPr>
    </w:p>
    <w:p w14:paraId="665EC3E9" w14:textId="77777777" w:rsidR="00E8466A" w:rsidRPr="00E8466A" w:rsidRDefault="00E8466A" w:rsidP="00E8466A">
      <w:pPr>
        <w:rPr>
          <w:lang w:val="en-US"/>
        </w:rPr>
      </w:pPr>
      <w:r w:rsidRPr="00E8466A">
        <w:rPr>
          <w:lang w:val="en-US"/>
        </w:rPr>
        <w:t>### 6.3 LIME Strengths</w:t>
      </w:r>
    </w:p>
    <w:p w14:paraId="5C8E9C88" w14:textId="77777777" w:rsidR="00E8466A" w:rsidRPr="00E8466A" w:rsidRDefault="00E8466A" w:rsidP="00E8466A">
      <w:pPr>
        <w:rPr>
          <w:lang w:val="en-US"/>
        </w:rPr>
      </w:pPr>
      <w:r w:rsidRPr="00E8466A">
        <w:rPr>
          <w:lang w:val="en-US"/>
        </w:rPr>
        <w:t>- **Model-agnostic**: Applicable to any classifier</w:t>
      </w:r>
    </w:p>
    <w:p w14:paraId="6617F3E8" w14:textId="77777777" w:rsidR="00E8466A" w:rsidRPr="00E8466A" w:rsidRDefault="00E8466A" w:rsidP="00E8466A">
      <w:pPr>
        <w:rPr>
          <w:lang w:val="en-US"/>
        </w:rPr>
      </w:pPr>
      <w:r w:rsidRPr="00E8466A">
        <w:rPr>
          <w:lang w:val="en-US"/>
        </w:rPr>
        <w:t>- **Local fidelity**: Accurate explanations in input neighborhoods</w:t>
      </w:r>
    </w:p>
    <w:p w14:paraId="3FF4F7B4" w14:textId="77777777" w:rsidR="00E8466A" w:rsidRPr="00E8466A" w:rsidRDefault="00E8466A" w:rsidP="00E8466A">
      <w:pPr>
        <w:rPr>
          <w:lang w:val="en-US"/>
        </w:rPr>
      </w:pPr>
      <w:r w:rsidRPr="00E8466A">
        <w:rPr>
          <w:lang w:val="en-US"/>
        </w:rPr>
        <w:t>- **Intuitive approach**: Understandable perturbation-based methodology</w:t>
      </w:r>
    </w:p>
    <w:p w14:paraId="33CF87DD" w14:textId="77777777" w:rsidR="00E8466A" w:rsidRPr="00E8466A" w:rsidRDefault="00E8466A" w:rsidP="00E8466A">
      <w:pPr>
        <w:rPr>
          <w:lang w:val="en-US"/>
        </w:rPr>
      </w:pPr>
    </w:p>
    <w:p w14:paraId="3B9BEA19" w14:textId="77777777" w:rsidR="00E8466A" w:rsidRPr="00E8466A" w:rsidRDefault="00E8466A" w:rsidP="00E8466A">
      <w:pPr>
        <w:rPr>
          <w:lang w:val="en-US"/>
        </w:rPr>
      </w:pPr>
      <w:r w:rsidRPr="00E8466A">
        <w:rPr>
          <w:lang w:val="en-US"/>
        </w:rPr>
        <w:t>### 6.4 LIME Limitations</w:t>
      </w:r>
    </w:p>
    <w:p w14:paraId="67709F7D" w14:textId="77777777" w:rsidR="00E8466A" w:rsidRPr="00E8466A" w:rsidRDefault="00E8466A" w:rsidP="00E8466A">
      <w:pPr>
        <w:rPr>
          <w:lang w:val="en-US"/>
        </w:rPr>
      </w:pPr>
      <w:r w:rsidRPr="00E8466A">
        <w:rPr>
          <w:lang w:val="en-US"/>
        </w:rPr>
        <w:t>- **Computational cost**: Significantly slower than gradient-based methods</w:t>
      </w:r>
    </w:p>
    <w:p w14:paraId="66A37984" w14:textId="77777777" w:rsidR="00E8466A" w:rsidRPr="00E8466A" w:rsidRDefault="00E8466A" w:rsidP="00E8466A">
      <w:pPr>
        <w:rPr>
          <w:lang w:val="en-US"/>
        </w:rPr>
      </w:pPr>
      <w:r w:rsidRPr="00E8466A">
        <w:rPr>
          <w:lang w:val="en-US"/>
        </w:rPr>
        <w:t>- **Instability**: High variability across runs</w:t>
      </w:r>
    </w:p>
    <w:p w14:paraId="2879A781" w14:textId="77777777" w:rsidR="00E8466A" w:rsidRPr="00E8466A" w:rsidRDefault="00E8466A" w:rsidP="00E8466A">
      <w:pPr>
        <w:rPr>
          <w:lang w:val="en-US"/>
        </w:rPr>
      </w:pPr>
      <w:r w:rsidRPr="00E8466A">
        <w:rPr>
          <w:lang w:val="en-US"/>
        </w:rPr>
        <w:t>- **Segmentation dependency**: Results depend on image segmentation quality</w:t>
      </w:r>
    </w:p>
    <w:p w14:paraId="5E1BBE94" w14:textId="77777777" w:rsidR="00E8466A" w:rsidRPr="00E8466A" w:rsidRDefault="00E8466A" w:rsidP="00E8466A">
      <w:pPr>
        <w:rPr>
          <w:lang w:val="en-US"/>
        </w:rPr>
      </w:pPr>
    </w:p>
    <w:p w14:paraId="696B0EE0" w14:textId="77777777" w:rsidR="00E8466A" w:rsidRPr="00E8466A" w:rsidRDefault="00E8466A" w:rsidP="00E8466A">
      <w:pPr>
        <w:rPr>
          <w:lang w:val="en-US"/>
        </w:rPr>
      </w:pPr>
      <w:r w:rsidRPr="00E8466A">
        <w:rPr>
          <w:lang w:val="en-US"/>
        </w:rPr>
        <w:t>## 7. Research Gaps and Future Directions</w:t>
      </w:r>
    </w:p>
    <w:p w14:paraId="4B26A2C8" w14:textId="77777777" w:rsidR="00E8466A" w:rsidRPr="00E8466A" w:rsidRDefault="00E8466A" w:rsidP="00E8466A">
      <w:pPr>
        <w:rPr>
          <w:lang w:val="en-US"/>
        </w:rPr>
      </w:pPr>
    </w:p>
    <w:p w14:paraId="243FB2B7" w14:textId="77777777" w:rsidR="00E8466A" w:rsidRPr="00E8466A" w:rsidRDefault="00E8466A" w:rsidP="00E8466A">
      <w:pPr>
        <w:rPr>
          <w:lang w:val="en-US"/>
        </w:rPr>
      </w:pPr>
      <w:r w:rsidRPr="00E8466A">
        <w:rPr>
          <w:lang w:val="en-US"/>
        </w:rPr>
        <w:t>### 7.1 Quantitative Evaluation Standards</w:t>
      </w:r>
    </w:p>
    <w:p w14:paraId="3AB7EB13" w14:textId="77777777" w:rsidR="00E8466A" w:rsidRPr="00E8466A" w:rsidRDefault="00E8466A" w:rsidP="00E8466A">
      <w:pPr>
        <w:rPr>
          <w:lang w:val="en-US"/>
        </w:rPr>
      </w:pPr>
    </w:p>
    <w:p w14:paraId="3CC21484" w14:textId="77777777" w:rsidR="00E8466A" w:rsidRPr="00E8466A" w:rsidRDefault="00E8466A" w:rsidP="00E8466A">
      <w:pPr>
        <w:rPr>
          <w:lang w:val="en-US"/>
        </w:rPr>
      </w:pPr>
      <w:r w:rsidRPr="00E8466A">
        <w:rPr>
          <w:lang w:val="en-US"/>
        </w:rPr>
        <w:t xml:space="preserve">Current literature lacks standardized quantitative measures for assessing explanation quality. (Ann-Kristin </w:t>
      </w:r>
      <w:proofErr w:type="spellStart"/>
      <w:r w:rsidRPr="00E8466A">
        <w:rPr>
          <w:lang w:val="en-US"/>
        </w:rPr>
        <w:t>Balve</w:t>
      </w:r>
      <w:proofErr w:type="spellEnd"/>
      <w:r w:rsidRPr="00E8466A">
        <w:rPr>
          <w:lang w:val="en-US"/>
        </w:rPr>
        <w:t xml:space="preserve"> et al., 2024) acknowledged this limitation, suggesting involvement of domain experts to establish ground truth annotations for quantitative analysis using metrics like Intersection over Union (</w:t>
      </w:r>
      <w:proofErr w:type="spellStart"/>
      <w:r w:rsidRPr="00E8466A">
        <w:rPr>
          <w:lang w:val="en-US"/>
        </w:rPr>
        <w:t>IoU</w:t>
      </w:r>
      <w:proofErr w:type="spellEnd"/>
      <w:r w:rsidRPr="00E8466A">
        <w:rPr>
          <w:lang w:val="en-US"/>
        </w:rPr>
        <w:t>).</w:t>
      </w:r>
    </w:p>
    <w:p w14:paraId="7C99D2E8" w14:textId="77777777" w:rsidR="00E8466A" w:rsidRPr="00E8466A" w:rsidRDefault="00E8466A" w:rsidP="00E8466A">
      <w:pPr>
        <w:rPr>
          <w:lang w:val="en-US"/>
        </w:rPr>
      </w:pPr>
    </w:p>
    <w:p w14:paraId="343D0F02" w14:textId="77777777" w:rsidR="00E8466A" w:rsidRPr="00E8466A" w:rsidRDefault="00E8466A" w:rsidP="00E8466A">
      <w:pPr>
        <w:rPr>
          <w:lang w:val="en-US"/>
        </w:rPr>
      </w:pPr>
      <w:r w:rsidRPr="00E8466A">
        <w:rPr>
          <w:lang w:val="en-US"/>
        </w:rPr>
        <w:t>### 7.2 Multi-layer Analysis</w:t>
      </w:r>
    </w:p>
    <w:p w14:paraId="25759BF7" w14:textId="77777777" w:rsidR="00E8466A" w:rsidRPr="00E8466A" w:rsidRDefault="00E8466A" w:rsidP="00E8466A">
      <w:pPr>
        <w:rPr>
          <w:lang w:val="en-US"/>
        </w:rPr>
      </w:pPr>
    </w:p>
    <w:p w14:paraId="2BED1D36" w14:textId="77777777" w:rsidR="00E8466A" w:rsidRPr="00E8466A" w:rsidRDefault="00E8466A" w:rsidP="00E8466A">
      <w:pPr>
        <w:rPr>
          <w:lang w:val="en-US"/>
        </w:rPr>
      </w:pPr>
      <w:r w:rsidRPr="00E8466A">
        <w:rPr>
          <w:lang w:val="en-US"/>
        </w:rPr>
        <w:t xml:space="preserve">While (A. K. Singh et al., 2024) addressed this with Integrative CAM, most existing methods focus on final convolutional layers. (Thomas Hartley et al., 2019) explored gradient-weighted </w:t>
      </w:r>
      <w:proofErr w:type="spellStart"/>
      <w:r w:rsidRPr="00E8466A">
        <w:rPr>
          <w:lang w:val="en-US"/>
        </w:rPr>
        <w:t>superpixels</w:t>
      </w:r>
      <w:proofErr w:type="spellEnd"/>
      <w:r w:rsidRPr="00E8466A">
        <w:rPr>
          <w:lang w:val="en-US"/>
        </w:rPr>
        <w:t xml:space="preserve"> as an efficient alternative to LIME, but comprehensive multi-layer interpretability remains underexplored.</w:t>
      </w:r>
    </w:p>
    <w:p w14:paraId="42866939" w14:textId="77777777" w:rsidR="00E8466A" w:rsidRPr="00E8466A" w:rsidRDefault="00E8466A" w:rsidP="00E8466A">
      <w:pPr>
        <w:rPr>
          <w:lang w:val="en-US"/>
        </w:rPr>
      </w:pPr>
    </w:p>
    <w:p w14:paraId="397F89EC" w14:textId="77777777" w:rsidR="00E8466A" w:rsidRPr="00E8466A" w:rsidRDefault="00E8466A" w:rsidP="00E8466A">
      <w:pPr>
        <w:rPr>
          <w:lang w:val="en-US"/>
        </w:rPr>
      </w:pPr>
      <w:r w:rsidRPr="00E8466A">
        <w:rPr>
          <w:lang w:val="en-US"/>
        </w:rPr>
        <w:t>### 7.3 Real-world Deployment</w:t>
      </w:r>
    </w:p>
    <w:p w14:paraId="6CDAF0E2" w14:textId="77777777" w:rsidR="00E8466A" w:rsidRPr="00E8466A" w:rsidRDefault="00E8466A" w:rsidP="00E8466A">
      <w:pPr>
        <w:rPr>
          <w:lang w:val="en-US"/>
        </w:rPr>
      </w:pPr>
    </w:p>
    <w:p w14:paraId="2657F940" w14:textId="77777777" w:rsidR="00E8466A" w:rsidRPr="00E8466A" w:rsidRDefault="00E8466A" w:rsidP="00E8466A">
      <w:pPr>
        <w:rPr>
          <w:lang w:val="en-US"/>
        </w:rPr>
      </w:pPr>
      <w:r w:rsidRPr="00E8466A">
        <w:rPr>
          <w:lang w:val="en-US"/>
        </w:rPr>
        <w:t>Despite promising research results, few studies address practical deployment challenges in clinical or industrial settings. The gap between research demonstrations and real-world implementation represents a significant opportunity for future work.</w:t>
      </w:r>
    </w:p>
    <w:p w14:paraId="1801DC80" w14:textId="77777777" w:rsidR="00E8466A" w:rsidRPr="00E8466A" w:rsidRDefault="00E8466A" w:rsidP="00E8466A">
      <w:pPr>
        <w:rPr>
          <w:lang w:val="en-US"/>
        </w:rPr>
      </w:pPr>
    </w:p>
    <w:p w14:paraId="1A74E295" w14:textId="77777777" w:rsidR="00E8466A" w:rsidRPr="00E8466A" w:rsidRDefault="00E8466A" w:rsidP="00E8466A">
      <w:pPr>
        <w:rPr>
          <w:lang w:val="en-US"/>
        </w:rPr>
      </w:pPr>
      <w:r w:rsidRPr="00E8466A">
        <w:rPr>
          <w:lang w:val="en-US"/>
        </w:rPr>
        <w:t>### 7.4 Bias Detection and Mitigation</w:t>
      </w:r>
    </w:p>
    <w:p w14:paraId="11253DEE" w14:textId="77777777" w:rsidR="00E8466A" w:rsidRPr="00E8466A" w:rsidRDefault="00E8466A" w:rsidP="00E8466A">
      <w:pPr>
        <w:rPr>
          <w:lang w:val="en-US"/>
        </w:rPr>
      </w:pPr>
    </w:p>
    <w:p w14:paraId="5CC59818" w14:textId="77777777" w:rsidR="00E8466A" w:rsidRPr="00E8466A" w:rsidRDefault="00E8466A" w:rsidP="00E8466A">
      <w:pPr>
        <w:rPr>
          <w:lang w:val="en-US"/>
        </w:rPr>
      </w:pPr>
      <w:r w:rsidRPr="00E8466A">
        <w:rPr>
          <w:lang w:val="en-US"/>
        </w:rPr>
        <w:t>(</w:t>
      </w:r>
      <w:proofErr w:type="spellStart"/>
      <w:r w:rsidRPr="00E8466A">
        <w:rPr>
          <w:lang w:val="en-US"/>
        </w:rPr>
        <w:t>Ramprasaath</w:t>
      </w:r>
      <w:proofErr w:type="spellEnd"/>
      <w:r w:rsidRPr="00E8466A">
        <w:rPr>
          <w:lang w:val="en-US"/>
        </w:rPr>
        <w:t xml:space="preserve"> R. Selvaraju et al., 2016) demonstrated Grad-CAM's utility in identifying dataset bias, but systematic approaches to bias detection and mitigation through interpretability techniques remain underdeveloped.</w:t>
      </w:r>
    </w:p>
    <w:p w14:paraId="2368B93F" w14:textId="77777777" w:rsidR="00E8466A" w:rsidRPr="00E8466A" w:rsidRDefault="00E8466A" w:rsidP="00E8466A">
      <w:pPr>
        <w:rPr>
          <w:lang w:val="en-US"/>
        </w:rPr>
      </w:pPr>
    </w:p>
    <w:p w14:paraId="03976847" w14:textId="77777777" w:rsidR="00E8466A" w:rsidRPr="00E8466A" w:rsidRDefault="00E8466A" w:rsidP="00E8466A">
      <w:pPr>
        <w:rPr>
          <w:lang w:val="en-US"/>
        </w:rPr>
      </w:pPr>
      <w:r w:rsidRPr="00E8466A">
        <w:rPr>
          <w:lang w:val="en-US"/>
        </w:rPr>
        <w:t>## 8. Implications for Future Research</w:t>
      </w:r>
    </w:p>
    <w:p w14:paraId="62881CB8" w14:textId="77777777" w:rsidR="00E8466A" w:rsidRPr="00E8466A" w:rsidRDefault="00E8466A" w:rsidP="00E8466A">
      <w:pPr>
        <w:rPr>
          <w:lang w:val="en-US"/>
        </w:rPr>
      </w:pPr>
    </w:p>
    <w:p w14:paraId="1AC2B023" w14:textId="77777777" w:rsidR="00E8466A" w:rsidRPr="00E8466A" w:rsidRDefault="00E8466A" w:rsidP="00E8466A">
      <w:pPr>
        <w:rPr>
          <w:lang w:val="en-US"/>
        </w:rPr>
      </w:pPr>
      <w:r w:rsidRPr="00E8466A">
        <w:rPr>
          <w:lang w:val="en-US"/>
        </w:rPr>
        <w:t>### 8.1 Hybrid Method Development</w:t>
      </w:r>
    </w:p>
    <w:p w14:paraId="39EBFAC5" w14:textId="77777777" w:rsidR="00E8466A" w:rsidRPr="00E8466A" w:rsidRDefault="00E8466A" w:rsidP="00E8466A">
      <w:pPr>
        <w:rPr>
          <w:lang w:val="en-US"/>
        </w:rPr>
      </w:pPr>
    </w:p>
    <w:p w14:paraId="2D00190E" w14:textId="77777777" w:rsidR="00E8466A" w:rsidRPr="00E8466A" w:rsidRDefault="00E8466A" w:rsidP="00E8466A">
      <w:pPr>
        <w:rPr>
          <w:lang w:val="en-US"/>
        </w:rPr>
      </w:pPr>
      <w:r w:rsidRPr="00E8466A">
        <w:rPr>
          <w:lang w:val="en-US"/>
        </w:rPr>
        <w:t>The success of (Vaibhav Dhore et al., 2024)'s hybrid approach suggests significant potential for combining complementary interpretability techniques. Future research should explore systematic frameworks for method combination.</w:t>
      </w:r>
    </w:p>
    <w:p w14:paraId="77CDFE7B" w14:textId="77777777" w:rsidR="00E8466A" w:rsidRPr="00E8466A" w:rsidRDefault="00E8466A" w:rsidP="00E8466A">
      <w:pPr>
        <w:rPr>
          <w:lang w:val="en-US"/>
        </w:rPr>
      </w:pPr>
    </w:p>
    <w:p w14:paraId="34A8B111" w14:textId="77777777" w:rsidR="00E8466A" w:rsidRPr="00E8466A" w:rsidRDefault="00E8466A" w:rsidP="00E8466A">
      <w:pPr>
        <w:rPr>
          <w:lang w:val="en-US"/>
        </w:rPr>
      </w:pPr>
      <w:r w:rsidRPr="00E8466A">
        <w:rPr>
          <w:lang w:val="en-US"/>
        </w:rPr>
        <w:t>### 8.2 Domain-Specific Optimization</w:t>
      </w:r>
    </w:p>
    <w:p w14:paraId="469DA0BB" w14:textId="77777777" w:rsidR="00E8466A" w:rsidRPr="00E8466A" w:rsidRDefault="00E8466A" w:rsidP="00E8466A">
      <w:pPr>
        <w:rPr>
          <w:lang w:val="en-US"/>
        </w:rPr>
      </w:pPr>
    </w:p>
    <w:p w14:paraId="282C11AF" w14:textId="77777777" w:rsidR="00E8466A" w:rsidRPr="00E8466A" w:rsidRDefault="00E8466A" w:rsidP="00E8466A">
      <w:pPr>
        <w:rPr>
          <w:lang w:val="en-US"/>
        </w:rPr>
      </w:pPr>
      <w:r w:rsidRPr="00E8466A">
        <w:rPr>
          <w:lang w:val="en-US"/>
        </w:rPr>
        <w:t>Different application domains may benefit from tailored interpretability approaches. Medical imaging requires different considerations than industrial quality control or autonomous driving applications.</w:t>
      </w:r>
    </w:p>
    <w:p w14:paraId="3DAF21B1" w14:textId="77777777" w:rsidR="00E8466A" w:rsidRPr="00E8466A" w:rsidRDefault="00E8466A" w:rsidP="00E8466A">
      <w:pPr>
        <w:rPr>
          <w:lang w:val="en-US"/>
        </w:rPr>
      </w:pPr>
    </w:p>
    <w:p w14:paraId="02AC6935" w14:textId="77777777" w:rsidR="00E8466A" w:rsidRPr="00E8466A" w:rsidRDefault="00E8466A" w:rsidP="00E8466A">
      <w:pPr>
        <w:rPr>
          <w:lang w:val="en-US"/>
        </w:rPr>
      </w:pPr>
      <w:r w:rsidRPr="00E8466A">
        <w:rPr>
          <w:lang w:val="en-US"/>
        </w:rPr>
        <w:t>### 8.3 Evaluation Methodology</w:t>
      </w:r>
    </w:p>
    <w:p w14:paraId="2B4CCAEE" w14:textId="77777777" w:rsidR="00E8466A" w:rsidRPr="00E8466A" w:rsidRDefault="00E8466A" w:rsidP="00E8466A">
      <w:pPr>
        <w:rPr>
          <w:lang w:val="en-US"/>
        </w:rPr>
      </w:pPr>
    </w:p>
    <w:p w14:paraId="3C11DA8A" w14:textId="77777777" w:rsidR="00E8466A" w:rsidRPr="00E8466A" w:rsidRDefault="00E8466A" w:rsidP="00E8466A">
      <w:pPr>
        <w:rPr>
          <w:lang w:val="en-US"/>
        </w:rPr>
      </w:pPr>
      <w:r w:rsidRPr="00E8466A">
        <w:rPr>
          <w:lang w:val="en-US"/>
        </w:rPr>
        <w:t>Developing standardized evaluation protocols that incorporate both quantitative metrics and domain expert assessment represents a critical research need.</w:t>
      </w:r>
    </w:p>
    <w:p w14:paraId="13F9B4F4" w14:textId="77777777" w:rsidR="00E8466A" w:rsidRPr="00E8466A" w:rsidRDefault="00E8466A" w:rsidP="00E8466A">
      <w:pPr>
        <w:rPr>
          <w:lang w:val="en-US"/>
        </w:rPr>
      </w:pPr>
    </w:p>
    <w:p w14:paraId="6D9FBFCB" w14:textId="77777777" w:rsidR="00E8466A" w:rsidRPr="00E8466A" w:rsidRDefault="00E8466A" w:rsidP="00E8466A">
      <w:pPr>
        <w:rPr>
          <w:lang w:val="en-US"/>
        </w:rPr>
      </w:pPr>
      <w:r w:rsidRPr="00E8466A">
        <w:rPr>
          <w:lang w:val="en-US"/>
        </w:rPr>
        <w:t>## 9. Conclusion</w:t>
      </w:r>
    </w:p>
    <w:p w14:paraId="248DAFB5" w14:textId="77777777" w:rsidR="00E8466A" w:rsidRPr="00E8466A" w:rsidRDefault="00E8466A" w:rsidP="00E8466A">
      <w:pPr>
        <w:rPr>
          <w:lang w:val="en-US"/>
        </w:rPr>
      </w:pPr>
    </w:p>
    <w:p w14:paraId="6A9A6807" w14:textId="77777777" w:rsidR="00E8466A" w:rsidRPr="00E8466A" w:rsidRDefault="00E8466A" w:rsidP="00E8466A">
      <w:pPr>
        <w:rPr>
          <w:lang w:val="en-US"/>
        </w:rPr>
      </w:pPr>
      <w:r w:rsidRPr="00E8466A">
        <w:rPr>
          <w:lang w:val="en-US"/>
        </w:rPr>
        <w:lastRenderedPageBreak/>
        <w:t>This literature review reveals a mature but evolving field of CNN interpretability research. Grad-CAM has emerged as the dominant technique due to its computational efficiency, deterministic nature, and broad applicability, while LIME provides valuable model-agnostic capabilities despite computational limitations. Hybrid approaches show promise for combining complementary strengths, and domain-specific applications demonstrate practical value across diverse fields.</w:t>
      </w:r>
    </w:p>
    <w:p w14:paraId="4095B400" w14:textId="77777777" w:rsidR="00E8466A" w:rsidRPr="00E8466A" w:rsidRDefault="00E8466A" w:rsidP="00E8466A">
      <w:pPr>
        <w:rPr>
          <w:lang w:val="en-US"/>
        </w:rPr>
      </w:pPr>
    </w:p>
    <w:p w14:paraId="4A274D93" w14:textId="77777777" w:rsidR="00E8466A" w:rsidRPr="00E8466A" w:rsidRDefault="00E8466A" w:rsidP="00E8466A">
      <w:pPr>
        <w:rPr>
          <w:lang w:val="en-US"/>
        </w:rPr>
      </w:pPr>
      <w:r w:rsidRPr="00E8466A">
        <w:rPr>
          <w:lang w:val="en-US"/>
        </w:rPr>
        <w:t>Key research gaps include standardized evaluation methodologies, comprehensive multi-layer analysis techniques, and systematic approaches to real-world deployment. Future work should focus on developing robust hybrid methods, establishing quantitative evaluation standards, and addressing practical implementation challenges in high-stakes domains like medical diagnosis and industrial automation.</w:t>
      </w:r>
    </w:p>
    <w:p w14:paraId="60D7D79E" w14:textId="77777777" w:rsidR="00E8466A" w:rsidRPr="00E8466A" w:rsidRDefault="00E8466A" w:rsidP="00E8466A">
      <w:pPr>
        <w:rPr>
          <w:lang w:val="en-US"/>
        </w:rPr>
      </w:pPr>
    </w:p>
    <w:p w14:paraId="38481BB2" w14:textId="5377B2B9" w:rsidR="004039B4" w:rsidRPr="00E8466A" w:rsidRDefault="00E8466A" w:rsidP="00E8466A">
      <w:pPr>
        <w:rPr>
          <w:lang w:val="en-US"/>
        </w:rPr>
      </w:pPr>
      <w:r w:rsidRPr="00E8466A">
        <w:rPr>
          <w:lang w:val="en-US"/>
        </w:rPr>
        <w:t>The field's trajectory suggests continued evolution toward more sophisticated, efficient, and practically deployable interpretability solutions that can enhance trust and understanding in CNN-based systems across diverse application domains.</w:t>
      </w:r>
    </w:p>
    <w:sectPr w:rsidR="004039B4" w:rsidRPr="00E846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6A"/>
    <w:rsid w:val="00200DFE"/>
    <w:rsid w:val="004039B4"/>
    <w:rsid w:val="00684B25"/>
    <w:rsid w:val="007B18A6"/>
    <w:rsid w:val="008B3544"/>
    <w:rsid w:val="00A152A8"/>
    <w:rsid w:val="00E846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E7DC"/>
  <w15:chartTrackingRefBased/>
  <w15:docId w15:val="{0DFEA563-D80A-4751-917F-D8ADDBC1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4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4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46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46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46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46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46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46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46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46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46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46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46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46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46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46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46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466A"/>
    <w:rPr>
      <w:rFonts w:eastAsiaTheme="majorEastAsia" w:cstheme="majorBidi"/>
      <w:color w:val="272727" w:themeColor="text1" w:themeTint="D8"/>
    </w:rPr>
  </w:style>
  <w:style w:type="paragraph" w:styleId="Titre">
    <w:name w:val="Title"/>
    <w:basedOn w:val="Normal"/>
    <w:next w:val="Normal"/>
    <w:link w:val="TitreCar"/>
    <w:uiPriority w:val="10"/>
    <w:qFormat/>
    <w:rsid w:val="00E84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46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46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46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466A"/>
    <w:pPr>
      <w:spacing w:before="160"/>
      <w:jc w:val="center"/>
    </w:pPr>
    <w:rPr>
      <w:i/>
      <w:iCs/>
      <w:color w:val="404040" w:themeColor="text1" w:themeTint="BF"/>
    </w:rPr>
  </w:style>
  <w:style w:type="character" w:customStyle="1" w:styleId="CitationCar">
    <w:name w:val="Citation Car"/>
    <w:basedOn w:val="Policepardfaut"/>
    <w:link w:val="Citation"/>
    <w:uiPriority w:val="29"/>
    <w:rsid w:val="00E8466A"/>
    <w:rPr>
      <w:i/>
      <w:iCs/>
      <w:color w:val="404040" w:themeColor="text1" w:themeTint="BF"/>
    </w:rPr>
  </w:style>
  <w:style w:type="paragraph" w:styleId="Paragraphedeliste">
    <w:name w:val="List Paragraph"/>
    <w:basedOn w:val="Normal"/>
    <w:uiPriority w:val="34"/>
    <w:qFormat/>
    <w:rsid w:val="00E8466A"/>
    <w:pPr>
      <w:ind w:left="720"/>
      <w:contextualSpacing/>
    </w:pPr>
  </w:style>
  <w:style w:type="character" w:styleId="Accentuationintense">
    <w:name w:val="Intense Emphasis"/>
    <w:basedOn w:val="Policepardfaut"/>
    <w:uiPriority w:val="21"/>
    <w:qFormat/>
    <w:rsid w:val="00E8466A"/>
    <w:rPr>
      <w:i/>
      <w:iCs/>
      <w:color w:val="0F4761" w:themeColor="accent1" w:themeShade="BF"/>
    </w:rPr>
  </w:style>
  <w:style w:type="paragraph" w:styleId="Citationintense">
    <w:name w:val="Intense Quote"/>
    <w:basedOn w:val="Normal"/>
    <w:next w:val="Normal"/>
    <w:link w:val="CitationintenseCar"/>
    <w:uiPriority w:val="30"/>
    <w:qFormat/>
    <w:rsid w:val="00E84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466A"/>
    <w:rPr>
      <w:i/>
      <w:iCs/>
      <w:color w:val="0F4761" w:themeColor="accent1" w:themeShade="BF"/>
    </w:rPr>
  </w:style>
  <w:style w:type="character" w:styleId="Rfrenceintense">
    <w:name w:val="Intense Reference"/>
    <w:basedOn w:val="Policepardfaut"/>
    <w:uiPriority w:val="32"/>
    <w:qFormat/>
    <w:rsid w:val="00E84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1487</Words>
  <Characters>8184</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GREVET Adrien</dc:creator>
  <cp:keywords/>
  <dc:description/>
  <cp:lastModifiedBy>GREVET Adrien</cp:lastModifiedBy>
  <cp:revision>1</cp:revision>
  <dcterms:created xsi:type="dcterms:W3CDTF">2025-11-30T17:42:00Z</dcterms:created>
  <dcterms:modified xsi:type="dcterms:W3CDTF">2025-11-30T18:07:00Z</dcterms:modified>
</cp:coreProperties>
</file>