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2026-07-31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3833.31</w:t>
            </w:r>
          </w:p>
        </w:tc>
        <w:tc>
          <w:tcPr>
            <w:tcW w:type="dxa" w:w="2160"/>
          </w:tcPr>
          <w:p>
            <w:r>
              <w:t>+0.75%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13711.67</w:t>
            </w:r>
          </w:p>
        </w:tc>
        <w:tc>
          <w:tcPr>
            <w:tcW w:type="dxa" w:w="2160"/>
          </w:tcPr>
          <w:p>
            <w:r>
              <w:t>+3.21%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3408.91</w:t>
            </w:r>
          </w:p>
        </w:tc>
        <w:tc>
          <w:tcPr>
            <w:tcW w:type="dxa" w:w="2160"/>
          </w:tcPr>
          <w:p>
            <w:r>
              <w:t>+5.06%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1681.20</w:t>
            </w:r>
          </w:p>
        </w:tc>
        <w:tc>
          <w:tcPr>
            <w:tcW w:type="dxa" w:w="2160"/>
          </w:tcPr>
          <w:p>
            <w:r>
              <w:t>+5.84%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4608.65</w:t>
            </w:r>
          </w:p>
        </w:tc>
        <w:tc>
          <w:tcPr>
            <w:tcW w:type="dxa" w:w="2160"/>
          </w:tcPr>
          <w:p>
            <w:r>
              <w:t>+1.30%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7557.54</w:t>
            </w:r>
          </w:p>
        </w:tc>
        <w:tc>
          <w:tcPr>
            <w:tcW w:type="dxa" w:w="2160"/>
          </w:tcPr>
          <w:p>
            <w:r>
              <w:t>+3.39%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北向资金：净流出 30.68 亿</w:t>
      </w:r>
      <w:r>
        <w:t xml:space="preserve">  |  沪股通 -9.28 亿  |  数据源: hexin</w:t>
      </w:r>
    </w:p>
    <w:p>
      <w:r>
        <w:rPr>
          <w:b/>
        </w:rPr>
        <w:t>大资金方向（替代两融）：</w:t>
      </w:r>
      <w:r>
        <w:t>30 股聚合净流入 109.82 亿  |  大单净 110.09 亿  |  涨家 25 / 跌家 5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1.0%  |  PPI 4.1%  |  PMI 50.3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📊 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今日市场呈现"权重搭台、成长唱戏"的经典格局。上证小幅收涨0.75%，而深证成指、创业板指、科创50分别大涨3.21%、5.06%、5.84%。全市场上涨家数高达928家，典型普涨行情。量能虽未创阶段新高，但资金结构化抱团科技成长方向，风险偏好急剧上升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📈 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涨跌比</w:t>
      </w:r>
      <w:r>
        <w:rPr>
          <w:rFonts w:ascii="微软雅黑" w:hAnsi="微软雅黑" w:eastAsia="微软雅黑"/>
          <w:color w:val="1A1A1A"/>
          <w:sz w:val="22"/>
        </w:rPr>
        <w:t>：928涨 / 64跌 / 8平，涨跌比为14.5:1，属于绝对压倒性普涨，短线情绪进入亢奋区。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</w:t>
      </w:r>
      <w:r>
        <w:rPr>
          <w:rFonts w:ascii="微软雅黑" w:hAnsi="微软雅黑" w:eastAsia="微软雅黑"/>
          <w:color w:val="1A1A1A"/>
          <w:sz w:val="22"/>
        </w:rPr>
        <w:t>：约1.38万亿，较近期均量略缩，但资金集中度极高，主要涌入创业板及科创板。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北向资金</w:t>
      </w:r>
      <w:r>
        <w:rPr>
          <w:rFonts w:ascii="微软雅黑" w:hAnsi="微软雅黑" w:eastAsia="微软雅黑"/>
          <w:color w:val="1A1A1A"/>
          <w:sz w:val="22"/>
        </w:rPr>
        <w:t>：全日净流出30.68亿，其中深股通净流出21.4亿。北向与内资出现明显背离，内资主导今日行情。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大资金流向</w:t>
      </w:r>
      <w:r>
        <w:rPr>
          <w:rFonts w:ascii="微软雅黑" w:hAnsi="微软雅黑" w:eastAsia="微软雅黑"/>
          <w:color w:val="1A1A1A"/>
          <w:sz w:val="22"/>
        </w:rPr>
        <w:t>：样本30只个股中，大单净买入110.09亿，25只为净流入，显示内资主力积极做多。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🔥 板块热点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领涨主线（科技自主可控 + AI应用）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涨停数量达96家，零跌停，资金进攻极其聚焦。科创板、创业板20cm涨停频现，核心驱动为对科技自主可控政策的强烈预期。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半导体/电子</w:t>
      </w:r>
      <w:r>
        <w:rPr>
          <w:rFonts w:ascii="微软雅黑" w:hAnsi="微软雅黑" w:eastAsia="微软雅黑"/>
          <w:color w:val="1A1A1A"/>
          <w:sz w:val="22"/>
        </w:rPr>
        <w:t>：和林微纳、方邦股份、生益电子等集体暴涨，PE普遍高企甚至为负，说明资金完全脱离当期业绩，围绕国产替代逻辑进行估值重塑。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AI应用/软件</w:t>
      </w:r>
      <w:r>
        <w:rPr>
          <w:rFonts w:ascii="微软雅黑" w:hAnsi="微软雅黑" w:eastAsia="微软雅黑"/>
          <w:color w:val="1A1A1A"/>
          <w:sz w:val="22"/>
        </w:rPr>
        <w:t>：福昕软件、宏景科技、易点天下涨停。由海外AI映射与国内政策催化共振，是今日赚钱效应最强的方向。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机器人/自动化</w:t>
      </w:r>
      <w:r>
        <w:rPr>
          <w:rFonts w:ascii="微软雅黑" w:hAnsi="微软雅黑" w:eastAsia="微软雅黑"/>
          <w:color w:val="1A1A1A"/>
          <w:sz w:val="22"/>
        </w:rPr>
        <w:t>：海川智能、利和兴、维宏股份等涨停。板块内标的流通盘普遍较小，对流动性敏感，是市场风险偏好的温度计。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杀跌板块（防御类 / 房地产链）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资金从稳健型资产中全面流出，挪仓至进攻型资产。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地产链</w:t>
      </w:r>
      <w:r>
        <w:rPr>
          <w:rFonts w:ascii="微软雅黑" w:hAnsi="微软雅黑" w:eastAsia="微软雅黑"/>
          <w:color w:val="1A1A1A"/>
          <w:sz w:val="22"/>
        </w:rPr>
        <w:t>：滨江集团、北新建材、三棵树、老板电器跌幅居前。行业基本面恢复不及预期，叠加资金抽血效应，成为主要流出地。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传统汽车/化工</w:t>
      </w:r>
      <w:r>
        <w:rPr>
          <w:rFonts w:ascii="微软雅黑" w:hAnsi="微软雅黑" w:eastAsia="微软雅黑"/>
          <w:color w:val="1A1A1A"/>
          <w:sz w:val="22"/>
        </w:rPr>
        <w:t>：宇通客车、扬农化工回调。高股息、低估值的防御属性在今日极度亢奋的风险偏好下被市场抛弃。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⚙️ 技术信号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结构性行情极致演绎</w:t>
      </w:r>
      <w:r>
        <w:rPr>
          <w:rFonts w:ascii="微软雅黑" w:hAnsi="微软雅黑" w:eastAsia="微软雅黑"/>
          <w:color w:val="1A1A1A"/>
          <w:sz w:val="22"/>
        </w:rPr>
        <w:t>。今日各大指数呈现出截然不同的技术状态：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科创50（最强）</w:t>
      </w:r>
      <w:r>
        <w:rPr>
          <w:rFonts w:ascii="微软雅黑" w:hAnsi="微软雅黑" w:eastAsia="微软雅黑"/>
          <w:color w:val="1A1A1A"/>
          <w:sz w:val="22"/>
        </w:rPr>
        <w:t>：放量大阳线，带动MA5\MA10等短期均线急速向上发散，MACD金叉后红柱加长，RSI进入超买区（&gt;80）。是当前多头发动行情的核心旗帜，趋势极强但短线回调整固需求在累积。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创业板指</w:t>
      </w:r>
      <w:r>
        <w:rPr>
          <w:rFonts w:ascii="微软雅黑" w:hAnsi="微软雅黑" w:eastAsia="微软雅黑"/>
          <w:color w:val="1A1A1A"/>
          <w:sz w:val="22"/>
        </w:rPr>
        <w:t>：一阳穿多线，涨幅5.06%，量能配合健康。一举收复近期失地，MACD在零轴上方二次金叉，KDJ完成低位金叉后快速拉升。强势信号明确，上方空间打开。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中证500</w:t>
      </w:r>
      <w:r>
        <w:rPr>
          <w:rFonts w:ascii="微软雅黑" w:hAnsi="微软雅黑" w:eastAsia="微软雅黑"/>
          <w:color w:val="1A1A1A"/>
          <w:sz w:val="22"/>
        </w:rPr>
        <w:t>：涨幅3.39%，明显强于沪深300，创阶段新高。中小盘个股活跃度被彻底激活，市场宽度极佳。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上证指数/沪深300</w:t>
      </w:r>
      <w:r>
        <w:rPr>
          <w:rFonts w:ascii="微软雅黑" w:hAnsi="微软雅黑" w:eastAsia="微软雅黑"/>
          <w:color w:val="1A1A1A"/>
          <w:sz w:val="22"/>
        </w:rPr>
        <w:t>：被动跟随上涨，日内涨幅远不及成长指数。技术上仍处于箱体震荡的上沿区域，未形成有效突破，资金对其吸引力较弱。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🔬 量化视角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资金背离</w:t>
      </w:r>
      <w:r>
        <w:rPr>
          <w:rFonts w:ascii="微软雅黑" w:hAnsi="微软雅黑" w:eastAsia="微软雅黑"/>
          <w:color w:val="1A1A1A"/>
          <w:sz w:val="22"/>
        </w:rPr>
        <w:t>：北向净卖出而市场大涨，特别是深股通流出21.4亿而深证成指、创业板指暴涨。此背离信号表明内资（特别是游资和散户资金）是今日边际定价的绝对主力。此种背离通常出现在情绪驱动行情初期或末段。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量价结构</w:t>
      </w:r>
      <w:r>
        <w:rPr>
          <w:rFonts w:ascii="微软雅黑" w:hAnsi="微软雅黑" w:eastAsia="微软雅黑"/>
          <w:color w:val="1A1A1A"/>
          <w:sz w:val="22"/>
        </w:rPr>
        <w:t>：全市场成交额未创新高，但资金在"双创"板块高度集中，造成了显著的局部流动性溢价。这是一种效率极高的资金驱动方式，但也意味着行情对增量资金依赖度极高。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市场宽度</w:t>
      </w:r>
      <w:r>
        <w:rPr>
          <w:rFonts w:ascii="微软雅黑" w:hAnsi="微软雅黑" w:eastAsia="微软雅黑"/>
          <w:color w:val="1A1A1A"/>
          <w:sz w:val="22"/>
        </w:rPr>
        <w:t>：上涨比例92.8%，为近期峰值，市场情绪由上交易日的分歧迅速转为一致看多。宽度指标已达到极值区域，短期内容易引发获利盘回吐形成的技术性波动。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🌍 宏观背景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今日行情本质上是对宏观温和环境与政策预期的集中定价。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流动性充裕</w:t>
      </w:r>
      <w:r>
        <w:rPr>
          <w:rFonts w:ascii="微软雅黑" w:hAnsi="微软雅黑" w:eastAsia="微软雅黑"/>
          <w:color w:val="1A1A1A"/>
          <w:sz w:val="22"/>
        </w:rPr>
        <w:t>：M2余额356.71万亿，同比增8.0%，广义流动性环境友好。LPR（1年期3.0%，5年期3.5%）连续14个月不变，商业银行净息差（1.4%）处于历史低位，市场对后续降息或降准存在预期。宽松的资金面是中小盘成长股估值扩张的基础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经济结构温和</w:t>
      </w:r>
      <w:r>
        <w:rPr>
          <w:rFonts w:ascii="微软雅黑" w:hAnsi="微软雅黑" w:eastAsia="微软雅黑"/>
          <w:color w:val="1A1A1A"/>
          <w:sz w:val="22"/>
        </w:rPr>
        <w:t>：6月PMI（制造业50.3，服务业50.4）处于微幅扩张区间，CPI温和（上半年同比1.0%），PPI同比上涨4.1%。此种"不冷不热"的宏观组合，完美适配科技成长风格的行情演绎。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海外映射</w:t>
      </w:r>
      <w:r>
        <w:rPr>
          <w:rFonts w:ascii="微软雅黑" w:hAnsi="微软雅黑" w:eastAsia="微软雅黑"/>
          <w:color w:val="1A1A1A"/>
          <w:sz w:val="22"/>
        </w:rPr>
        <w:t>：隔夜纳斯达克大涨2.78%，对A股科技板块形成直接情绪传导，强化了今日做多科技股的信心。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⚠️ 风险提示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情绪极值风险</w:t>
      </w:r>
      <w:r>
        <w:rPr>
          <w:rFonts w:ascii="微软雅黑" w:hAnsi="微软雅黑" w:eastAsia="微软雅黑"/>
          <w:color w:val="1A1A1A"/>
          <w:sz w:val="22"/>
        </w:rPr>
        <w:t>：涨跌比超14:1，96家涨停且零跌停，情绪已进入短线极值区域。量能未创新高，存在量价背离隐忧，需警惕次日早盘获利盘集中兑现引发的快速回撤。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资金内部分化</w:t>
      </w:r>
      <w:r>
        <w:rPr>
          <w:rFonts w:ascii="微软雅黑" w:hAnsi="微软雅黑" w:eastAsia="微软雅黑"/>
          <w:color w:val="1A1A1A"/>
          <w:sz w:val="22"/>
        </w:rPr>
        <w:t>：北向资金与内资主力方向背离，机构与游资/量化盘分歧加大。若后续内资接力不足，行情可能出现剧烈分化。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技术性超买</w:t>
      </w:r>
      <w:r>
        <w:rPr>
          <w:rFonts w:ascii="微软雅黑" w:hAnsi="微软雅黑" w:eastAsia="微软雅黑"/>
          <w:color w:val="1A1A1A"/>
          <w:sz w:val="22"/>
        </w:rPr>
        <w:t>：科创50、创业板指的RSI等摆动指标已进入超买区，短期回调压力客观存在。当前行情的高贝塔特征决定了其高波动性。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数据滞后性</w:t>
      </w:r>
      <w:r>
        <w:rPr>
          <w:rFonts w:ascii="微软雅黑" w:hAnsi="微软雅黑" w:eastAsia="微软雅黑"/>
          <w:color w:val="1A1A1A"/>
          <w:sz w:val="22"/>
        </w:rPr>
        <w:t>：宏观数据截至为6月末/7月中旬，市场当前更关注高频数据和政策边际变化，前期数据仅作为背景板参考，不宜过度线性外推。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⚠️ 免责声明：本报告由 AI 自动生成，数据来自公开接口，仅供市场分析参考，不构成任何投资建议。投资有风险，入市需谨慎。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