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 股量化报告 — 午后更新</w:t>
      </w:r>
    </w:p>
    <w:p>
      <w:pPr>
        <w:jc w:val="center"/>
      </w:pPr>
      <w:r>
        <w:rPr>
          <w:color w:val="8B949E"/>
          <w:sz w:val="20"/>
        </w:rPr>
        <w:t>2026-09-04  |  模型: DeepSeek  |  量化交易视角</w:t>
      </w:r>
    </w:p>
    <w:p>
      <w:pPr>
        <w:pStyle w:val="Heading2"/>
      </w:pPr>
      <w:r>
        <w:t>核心指标速览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指数</w:t>
            </w:r>
          </w:p>
        </w:tc>
        <w:tc>
          <w:tcPr>
            <w:tcW w:type="dxa" w:w="2160"/>
          </w:tcPr>
          <w:p>
            <w:r>
              <w:t>点位</w:t>
            </w:r>
          </w:p>
        </w:tc>
        <w:tc>
          <w:tcPr>
            <w:tcW w:type="dxa" w:w="2160"/>
          </w:tcPr>
          <w:p>
            <w:r>
              <w:t>涨跌幅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上证指数</w:t>
            </w:r>
          </w:p>
        </w:tc>
        <w:tc>
          <w:tcPr>
            <w:tcW w:type="dxa" w:w="2160"/>
          </w:tcPr>
          <w:p>
            <w:r>
              <w:t>3944.86</w:t>
            </w:r>
          </w:p>
        </w:tc>
        <w:tc>
          <w:tcPr>
            <w:tcW w:type="dxa" w:w="2160"/>
          </w:tcPr>
          <w:p>
            <w:r>
              <w:t>+0.07%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深证成指</w:t>
            </w:r>
          </w:p>
        </w:tc>
        <w:tc>
          <w:tcPr>
            <w:tcW w:type="dxa" w:w="2160"/>
          </w:tcPr>
          <w:p>
            <w:r>
              <w:t>13589.87</w:t>
            </w:r>
          </w:p>
        </w:tc>
        <w:tc>
          <w:tcPr>
            <w:tcW w:type="dxa" w:w="2160"/>
          </w:tcPr>
          <w:p>
            <w:r>
              <w:t>-0.26%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创业板指</w:t>
            </w:r>
          </w:p>
        </w:tc>
        <w:tc>
          <w:tcPr>
            <w:tcW w:type="dxa" w:w="2160"/>
          </w:tcPr>
          <w:p>
            <w:r>
              <w:t>3306.16</w:t>
            </w:r>
          </w:p>
        </w:tc>
        <w:tc>
          <w:tcPr>
            <w:tcW w:type="dxa" w:w="2160"/>
          </w:tcPr>
          <w:p>
            <w:r>
              <w:t>-0.19%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科创50</w:t>
            </w:r>
          </w:p>
        </w:tc>
        <w:tc>
          <w:tcPr>
            <w:tcW w:type="dxa" w:w="2160"/>
          </w:tcPr>
          <w:p>
            <w:r>
              <w:t>1588.73</w:t>
            </w:r>
          </w:p>
        </w:tc>
        <w:tc>
          <w:tcPr>
            <w:tcW w:type="dxa" w:w="2160"/>
          </w:tcPr>
          <w:p>
            <w:r>
              <w:t>-1.39%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沪深300</w:t>
            </w:r>
          </w:p>
        </w:tc>
        <w:tc>
          <w:tcPr>
            <w:tcW w:type="dxa" w:w="2160"/>
          </w:tcPr>
          <w:p>
            <w:r>
              <w:t>4565.93</w:t>
            </w:r>
          </w:p>
        </w:tc>
        <w:tc>
          <w:tcPr>
            <w:tcW w:type="dxa" w:w="2160"/>
          </w:tcPr>
          <w:p>
            <w:r>
              <w:t>+0.29%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中证500</w:t>
            </w:r>
          </w:p>
        </w:tc>
        <w:tc>
          <w:tcPr>
            <w:tcW w:type="dxa" w:w="2160"/>
          </w:tcPr>
          <w:p>
            <w:r>
              <w:t>7690.79</w:t>
            </w:r>
          </w:p>
        </w:tc>
        <w:tc>
          <w:tcPr>
            <w:tcW w:type="dxa" w:w="2160"/>
          </w:tcPr>
          <w:p>
            <w:r>
              <w:t>-0.83%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</w:rPr>
        <w:t>外资监测</w:t>
      </w:r>
    </w:p>
    <w:p>
      <w:r>
        <w:t xml:space="preserve">  南向资金：净卖出 65.3 亿（港股通，A股情绪反向指标）</w:t>
      </w:r>
      <w:r>
        <w:rPr>
          <w:color w:val="8B949E"/>
          <w:sz w:val="18"/>
        </w:rPr>
        <w:br/>
        <w:t xml:space="preserve">  注：北向净买入自2024年证监会新规后不再公开发布，外资监测由南向资金+外部联动构成</w:t>
      </w:r>
    </w:p>
    <w:p>
      <w:r>
        <w:rPr>
          <w:b/>
        </w:rPr>
        <w:t>大资金方向（替代两融）：</w:t>
      </w:r>
      <w:r>
        <w:t>30 股聚合净流入 28.46 亿  |  大单净 30.0 亿  |  涨家 18 / 跌家 12</w:t>
      </w:r>
      <w:r>
        <w:rPr>
          <w:color w:val="8B949E"/>
          <w:sz w:val="18"/>
        </w:rPr>
        <w:br/>
        <w:t>注：数据来自新浪资金流（大单/特大单估算），非融资融券官方数据，仅供参考大资金方向</w:t>
      </w:r>
    </w:p>
    <w:p>
      <w:r>
        <w:rPr>
          <w:b/>
        </w:rPr>
        <w:t>宏观数据：</w:t>
      </w:r>
      <w:r>
        <w:t>CPI 0.5%  |  PPI 3.5%  |  PMI 49.2  |  M2 8.0%  |  LPR 1Y 3.0%</w:t>
      </w:r>
    </w:p>
    <w:p/>
    <w:p>
      <w:pPr>
        <w:pStyle w:val="Heading2"/>
      </w:pPr>
      <w:r>
        <w:t>量化分析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模块一：边际速览</w:t>
      </w:r>
    </w:p>
    <w:p>
      <w:pPr>
        <w:spacing w:after="120"/>
      </w:pPr>
      <w:r>
        <w:rPr>
          <w:rFonts w:ascii="微软雅黑" w:hAnsi="微软雅黑" w:eastAsia="微软雅黑"/>
          <w:b/>
          <w:color w:val="D29922"/>
          <w:sz w:val="22"/>
        </w:rPr>
        <w:t>一句话点睛：本时段核心变化是放量28%背景下大小盘极端分化——沪深300走强、科创50/中证500加速下杀，资金从题材向权重防御切换。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指数方向</w:t>
      </w:r>
      <w:r>
        <w:rPr>
          <w:rFonts w:ascii="微软雅黑" w:hAnsi="微软雅黑" w:eastAsia="微软雅黑"/>
          <w:color w:val="1A1A1A"/>
          <w:sz w:val="22"/>
        </w:rPr>
        <w:t>：较上一时段（11:31），深证成指-0.26%（-0.52pp）、创业板指-0.19%（-0.62pp）、科创50-1.39%（-0.68pp）、中证500-0.83%（-0.71pp），中小盘和科创</w:t>
      </w:r>
      <w:r>
        <w:rPr>
          <w:rFonts w:ascii="微软雅黑" w:hAnsi="微软雅黑" w:eastAsia="微软雅黑"/>
          <w:b/>
          <w:color w:val="D29922"/>
          <w:sz w:val="22"/>
        </w:rPr>
        <w:t>动能加速下跌</w:t>
      </w:r>
      <w:r>
        <w:rPr>
          <w:rFonts w:ascii="微软雅黑" w:hAnsi="微软雅黑" w:eastAsia="微软雅黑"/>
          <w:color w:val="1A1A1A"/>
          <w:sz w:val="22"/>
        </w:rPr>
        <w:t>；上证+0.07%（-0.28pp）、沪深300+0.29%（-0.14pp）维持横盘，权重与题材明显</w:t>
      </w:r>
      <w:r>
        <w:rPr>
          <w:rFonts w:ascii="微软雅黑" w:hAnsi="微软雅黑" w:eastAsia="微软雅黑"/>
          <w:b/>
          <w:color w:val="D29922"/>
          <w:sz w:val="22"/>
        </w:rPr>
        <w:t>背离</w:t>
      </w:r>
      <w:r>
        <w:rPr>
          <w:rFonts w:ascii="微软雅黑" w:hAnsi="微软雅黑" w:eastAsia="微软雅黑"/>
          <w:color w:val="1A1A1A"/>
          <w:sz w:val="22"/>
        </w:rPr>
        <w:t>，属动能分裂而非全局衰竭。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量能</w:t>
      </w:r>
      <w:r>
        <w:rPr>
          <w:rFonts w:ascii="微软雅黑" w:hAnsi="微软雅黑" w:eastAsia="微软雅黑"/>
          <w:color w:val="1A1A1A"/>
          <w:sz w:val="22"/>
        </w:rPr>
        <w:t>：全市场成交额15839亿，较上一时段+28.4%，较昨日同期+13.0%，</w:t>
      </w:r>
      <w:r>
        <w:rPr>
          <w:rFonts w:ascii="微软雅黑" w:hAnsi="微软雅黑" w:eastAsia="微软雅黑"/>
          <w:b/>
          <w:color w:val="D29922"/>
          <w:sz w:val="22"/>
        </w:rPr>
        <w:t>放量显著</w:t>
      </w:r>
      <w:r>
        <w:rPr>
          <w:rFonts w:ascii="微软雅黑" w:hAnsi="微软雅黑" w:eastAsia="微软雅黑"/>
          <w:color w:val="1A1A1A"/>
          <w:sz w:val="22"/>
        </w:rPr>
        <w:t>。放量配合小票加速下跌，抛压持续释放，市场参与度上升但方向偏空头主导。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涨跌比</w:t>
      </w:r>
      <w:r>
        <w:rPr>
          <w:rFonts w:ascii="微软雅黑" w:hAnsi="微软雅黑" w:eastAsia="微软雅黑"/>
          <w:color w:val="1A1A1A"/>
          <w:sz w:val="22"/>
        </w:rPr>
        <w:t>：上涨467家/下跌525家/平盘8家，上涨比例46.7%，多空接近平衡但略偏空。市场宽度较上一时段收缩，个股活跃度下降。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模块二：量价结构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权重成交占比</w:t>
      </w:r>
      <w:r>
        <w:rPr>
          <w:rFonts w:ascii="微软雅黑" w:hAnsi="微软雅黑" w:eastAsia="微软雅黑"/>
          <w:color w:val="1A1A1A"/>
          <w:sz w:val="22"/>
        </w:rPr>
        <w:t>：沪深300成交额约3978亿，占两市总成交额（15839亿）的</w:t>
      </w:r>
      <w:r>
        <w:rPr>
          <w:rFonts w:ascii="微软雅黑" w:hAnsi="微软雅黑" w:eastAsia="微软雅黑"/>
          <w:b/>
          <w:color w:val="D29922"/>
          <w:sz w:val="22"/>
        </w:rPr>
        <w:t>25.1%</w:t>
      </w:r>
      <w:r>
        <w:rPr>
          <w:rFonts w:ascii="微软雅黑" w:hAnsi="微软雅黑" w:eastAsia="微软雅黑"/>
          <w:color w:val="1A1A1A"/>
          <w:sz w:val="22"/>
        </w:rPr>
        <w:t>，远未触及&gt;70%的极端虹吸阈值，资金并非全面挤压大票。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但结构性虹吸仍存</w:t>
      </w:r>
      <w:r>
        <w:rPr>
          <w:rFonts w:ascii="微软雅黑" w:hAnsi="微软雅黑" w:eastAsia="微软雅黑"/>
          <w:color w:val="1A1A1A"/>
          <w:sz w:val="22"/>
        </w:rPr>
        <w:t>：沪深300 +0.29% vs 中证500 -0.83%、科创50 -1.39%，资金正在</w:t>
      </w:r>
      <w:r>
        <w:rPr>
          <w:rFonts w:ascii="微软雅黑" w:hAnsi="微软雅黑" w:eastAsia="微软雅黑"/>
          <w:b/>
          <w:color w:val="D29922"/>
          <w:sz w:val="22"/>
        </w:rPr>
        <w:t>向大盘权重集中</w:t>
      </w:r>
      <w:r>
        <w:rPr>
          <w:rFonts w:ascii="微软雅黑" w:hAnsi="微软雅黑" w:eastAsia="微软雅黑"/>
          <w:color w:val="1A1A1A"/>
          <w:sz w:val="22"/>
        </w:rPr>
        <w:t>。领涨板块从昨日的"有色金属、次新股、陶瓷行业"完全替换为"酿酒行业（+1.78%）、船舶制造（+0.82%）、飞机制造（+0.39%）"，这是典型的</w:t>
      </w:r>
      <w:r>
        <w:rPr>
          <w:rFonts w:ascii="微软雅黑" w:hAnsi="微软雅黑" w:eastAsia="微软雅黑"/>
          <w:b/>
          <w:color w:val="D29922"/>
          <w:sz w:val="22"/>
        </w:rPr>
        <w:t>防御+事件驱动切换</w:t>
      </w:r>
      <w:r>
        <w:rPr>
          <w:rFonts w:ascii="微软雅黑" w:hAnsi="微软雅黑" w:eastAsia="微软雅黑"/>
          <w:color w:val="1A1A1A"/>
          <w:sz w:val="22"/>
        </w:rPr>
        <w:t>——白酒为经典防御品种，军工为地缘事件避险方向。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判断</w:t>
      </w:r>
      <w:r>
        <w:rPr>
          <w:rFonts w:ascii="微软雅黑" w:hAnsi="微软雅黑" w:eastAsia="微软雅黑"/>
          <w:color w:val="1A1A1A"/>
          <w:sz w:val="22"/>
        </w:rPr>
        <w:t>：资金并非题材进攻，而是</w:t>
      </w:r>
      <w:r>
        <w:rPr>
          <w:rFonts w:ascii="微软雅黑" w:hAnsi="微软雅黑" w:eastAsia="微软雅黑"/>
          <w:b/>
          <w:color w:val="D29922"/>
          <w:sz w:val="22"/>
        </w:rPr>
        <w:t>权重防御中对冲小票风险</w:t>
      </w:r>
      <w:r>
        <w:rPr>
          <w:rFonts w:ascii="微软雅黑" w:hAnsi="微软雅黑" w:eastAsia="微软雅黑"/>
          <w:color w:val="1A1A1A"/>
          <w:sz w:val="22"/>
        </w:rPr>
        <w:t>。次新股-1.79%、电子器件-0.50%、有色金属-0.43%领跌，高估值题材持续遭到抛售，板块轮动节奏加快但方向偏防守，追涨容错率极低。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模块四：内外联动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预计算验证</w:t>
      </w:r>
      <w:r>
        <w:rPr>
          <w:rFonts w:ascii="微软雅黑" w:hAnsi="微软雅黑" w:eastAsia="微软雅黑"/>
          <w:color w:val="1A1A1A"/>
          <w:sz w:val="22"/>
        </w:rPr>
        <w:t>：恒生指数+2.02%、恒生科技+2.14%，涨幅幅度足够；离岸人民币-0.06%升值但幅度微弱（弱信号）。Python预判3/3看多、+6.9分、置信度强，</w:t>
      </w:r>
      <w:r>
        <w:rPr>
          <w:rFonts w:ascii="微软雅黑" w:hAnsi="微软雅黑" w:eastAsia="微软雅黑"/>
          <w:b/>
          <w:color w:val="D29922"/>
          <w:sz w:val="22"/>
        </w:rPr>
        <w:t>方向判定基本合理</w:t>
      </w:r>
      <w:r>
        <w:rPr>
          <w:rFonts w:ascii="微软雅黑" w:hAnsi="微软雅黑" w:eastAsia="微软雅黑"/>
          <w:color w:val="1A1A1A"/>
          <w:sz w:val="22"/>
        </w:rPr>
        <w:t>，但离岸人民币的信号权重实际应进一步下调。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关键背离</w:t>
      </w:r>
      <w:r>
        <w:rPr>
          <w:rFonts w:ascii="微软雅黑" w:hAnsi="微软雅黑" w:eastAsia="微软雅黑"/>
          <w:color w:val="1A1A1A"/>
          <w:sz w:val="22"/>
        </w:rPr>
        <w:t>：外部联动高度一致看多（恒指+2.02%、恒生科技+2.14%），但A股上证仅+0.07%、深证成指-0.26%，</w:t>
      </w:r>
      <w:r>
        <w:rPr>
          <w:rFonts w:ascii="微软雅黑" w:hAnsi="微软雅黑" w:eastAsia="微软雅黑"/>
          <w:b/>
          <w:color w:val="D29922"/>
          <w:sz w:val="22"/>
        </w:rPr>
        <w:t>内盘完全没有跟随外盘</w:t>
      </w:r>
      <w:r>
        <w:rPr>
          <w:rFonts w:ascii="微软雅黑" w:hAnsi="微软雅黑" w:eastAsia="微软雅黑"/>
          <w:color w:val="1A1A1A"/>
          <w:sz w:val="22"/>
        </w:rPr>
        <w:t>。外部强势主要来自隔夜美股大涨（纳斯达克+1.4%、道琼斯+1.18%）的映射，港股直接受益，A股却没有承接外溢效应。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南向资金</w:t>
      </w:r>
      <w:r>
        <w:rPr>
          <w:rFonts w:ascii="微软雅黑" w:hAnsi="微软雅黑" w:eastAsia="微软雅黑"/>
          <w:color w:val="1A1A1A"/>
          <w:sz w:val="22"/>
        </w:rPr>
        <w:t>：净卖出65.32亿（沪-35.91亿、深-29.41亿），属大幅净流出，较上一时段-8.7亿显著扩大。口诀上"南向净卖出+外部联动看多=内外资都偏A股"，但实际指数涨幅极微弱（+0.07%），</w:t>
      </w:r>
      <w:r>
        <w:rPr>
          <w:rFonts w:ascii="微软雅黑" w:hAnsi="微软雅黑" w:eastAsia="微软雅黑"/>
          <w:b/>
          <w:color w:val="D29922"/>
          <w:sz w:val="22"/>
        </w:rPr>
        <w:t>回流资金并未转化为全面进攻</w:t>
      </w:r>
      <w:r>
        <w:rPr>
          <w:rFonts w:ascii="微软雅黑" w:hAnsi="微软雅黑" w:eastAsia="微软雅黑"/>
          <w:color w:val="1A1A1A"/>
          <w:sz w:val="22"/>
        </w:rPr>
        <w:t>，而是流入权重防御（沪深300+0.29%、酿酒+1.78%）。外强内弱的背离说明：海外risk-on情绪没有被A股内资认可，A股仍受内部结构和情绪拖累，</w:t>
      </w:r>
      <w:r>
        <w:rPr>
          <w:rFonts w:ascii="微软雅黑" w:hAnsi="微软雅黑" w:eastAsia="微软雅黑"/>
          <w:b/>
          <w:color w:val="D29922"/>
          <w:sz w:val="22"/>
        </w:rPr>
        <w:t>应以A股自身量价结构为准</w:t>
      </w:r>
      <w:r>
        <w:rPr>
          <w:rFonts w:ascii="微软雅黑" w:hAnsi="微软雅黑" w:eastAsia="微软雅黑"/>
          <w:color w:val="1A1A1A"/>
          <w:sz w:val="22"/>
        </w:rPr>
        <w:t>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模块五：持续性评估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市场宽度</w:t>
      </w:r>
      <w:r>
        <w:rPr>
          <w:rFonts w:ascii="微软雅黑" w:hAnsi="微软雅黑" w:eastAsia="微软雅黑"/>
          <w:color w:val="1A1A1A"/>
          <w:sz w:val="22"/>
        </w:rPr>
        <w:t>：涨跌比46.7%，处于多空平衡区，未触发&gt;70%的极端反转预警，但也缺乏超跌反弹的极端条件。市场宽度</w:t>
      </w:r>
      <w:r>
        <w:rPr>
          <w:rFonts w:ascii="微软雅黑" w:hAnsi="微软雅黑" w:eastAsia="微软雅黑"/>
          <w:b/>
          <w:color w:val="D29922"/>
          <w:sz w:val="22"/>
        </w:rPr>
        <w:t>方向待选</w:t>
      </w:r>
      <w:r>
        <w:rPr>
          <w:rFonts w:ascii="微软雅黑" w:hAnsi="微软雅黑" w:eastAsia="微软雅黑"/>
          <w:color w:val="1A1A1A"/>
          <w:sz w:val="22"/>
        </w:rPr>
        <w:t>，不具备单边持续性条件。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主线缺失</w:t>
      </w:r>
      <w:r>
        <w:rPr>
          <w:rFonts w:ascii="微软雅黑" w:hAnsi="微软雅黑" w:eastAsia="微软雅黑"/>
          <w:color w:val="1A1A1A"/>
          <w:sz w:val="22"/>
        </w:rPr>
        <w:t>：领涨板块完全替换（酿酒、飞机制造、船舶制造 接替 有色金属、次新股、陶瓷行业），轮动速度极快。昨日涨停溢价率-1.0%（中位数），</w:t>
      </w:r>
      <w:r>
        <w:rPr>
          <w:rFonts w:ascii="微软雅黑" w:hAnsi="微软雅黑" w:eastAsia="微软雅黑"/>
          <w:b/>
          <w:color w:val="D29922"/>
          <w:sz w:val="22"/>
        </w:rPr>
        <w:t>打板亏钱效应扩散</w:t>
      </w:r>
      <w:r>
        <w:rPr>
          <w:rFonts w:ascii="微软雅黑" w:hAnsi="微软雅黑" w:eastAsia="微软雅黑"/>
          <w:color w:val="1A1A1A"/>
          <w:sz w:val="22"/>
        </w:rPr>
        <w:t>，短线情绪恶化。两者叠加表明当前市场缺乏可持续进攻主线，轮动更多是资金被动切换而非主动布局。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分时结构风险</w:t>
      </w:r>
      <w:r>
        <w:rPr>
          <w:rFonts w:ascii="微软雅黑" w:hAnsi="微软雅黑" w:eastAsia="微软雅黑"/>
          <w:color w:val="1A1A1A"/>
          <w:sz w:val="22"/>
        </w:rPr>
        <w:t>：上证横盘（较上一时段-0.28pp、较昨日同期-0.07pp，几乎不动），而创业板、科创50、中证500持续下探。若尾盘权重不能带动小票企稳，可能出现</w:t>
      </w:r>
      <w:r>
        <w:rPr>
          <w:rFonts w:ascii="微软雅黑" w:hAnsi="微软雅黑" w:eastAsia="微软雅黑"/>
          <w:b/>
          <w:color w:val="D29922"/>
          <w:sz w:val="22"/>
        </w:rPr>
        <w:t>权重补跌</w:t>
      </w:r>
      <w:r>
        <w:rPr>
          <w:rFonts w:ascii="微软雅黑" w:hAnsi="微软雅黑" w:eastAsia="微软雅黑"/>
          <w:color w:val="1A1A1A"/>
          <w:sz w:val="22"/>
        </w:rPr>
        <w:t>或小票进一步加速下跌的双重风险。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模块六：红黄绿灯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🟡 黄灯（主要信号）</w:t>
      </w:r>
      <w:r>
        <w:rPr>
          <w:rFonts w:ascii="微软雅黑" w:hAnsi="微软雅黑" w:eastAsia="微软雅黑"/>
          <w:color w:val="1A1A1A"/>
          <w:sz w:val="22"/>
        </w:rPr>
        <w:t>：涨跌比46.7%处于多空平衡区，方向待选，应减少仓位等待方向确认。放量28%但指数无法上行，</w:t>
      </w:r>
      <w:r>
        <w:rPr>
          <w:rFonts w:ascii="微软雅黑" w:hAnsi="微软雅黑" w:eastAsia="微软雅黑"/>
          <w:b/>
          <w:color w:val="D29922"/>
          <w:sz w:val="22"/>
        </w:rPr>
        <w:t>量价背离明显</w:t>
      </w:r>
      <w:r>
        <w:rPr>
          <w:rFonts w:ascii="微软雅黑" w:hAnsi="微软雅黑" w:eastAsia="微软雅黑"/>
          <w:color w:val="1A1A1A"/>
          <w:sz w:val="22"/>
        </w:rPr>
        <w:t>，筹码交换中多空分歧极大，并非健康上涨结构。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🟡 黄灯（强化信号）</w:t>
      </w:r>
    </w:p>
    <w:p/>
    <w:p>
      <w:r>
        <w:rPr>
          <w:color w:val="8B949E"/>
          <w:sz w:val="16"/>
        </w:rPr>
        <w:t>⚠️ 免责声明：本报告由 AI 自动生成，仅供参考，不构成任何投资建议。投资有风险，入市需谨慎。报告中的数据来源于公开接口，不对其准确性做任何保证。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