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股量化报告 — 收盘报告</w:t>
      </w:r>
    </w:p>
    <w:p>
      <w:pPr>
        <w:jc w:val="center"/>
      </w:pPr>
      <w:r>
        <w:rPr>
          <w:color w:val="8B949E"/>
          <w:sz w:val="20"/>
        </w:rPr>
        <w:t>2026-08-19  |  模型: DeepSeek  |  量化交易视角</w:t>
      </w:r>
    </w:p>
    <w:p>
      <w:pPr>
        <w:pStyle w:val="Heading2"/>
      </w:pPr>
      <w:r>
        <w:t>核心指标速览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指数</w:t>
            </w:r>
          </w:p>
        </w:tc>
        <w:tc>
          <w:tcPr>
            <w:tcW w:type="dxa" w:w="2160"/>
          </w:tcPr>
          <w:p>
            <w:r>
              <w:t>点位</w:t>
            </w:r>
          </w:p>
        </w:tc>
        <w:tc>
          <w:tcPr>
            <w:tcW w:type="dxa" w:w="2160"/>
          </w:tcPr>
          <w:p>
            <w:r>
              <w:t>涨跌幅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上证指数</w:t>
            </w:r>
          </w:p>
        </w:tc>
        <w:tc>
          <w:tcPr>
            <w:tcW w:type="dxa" w:w="2160"/>
          </w:tcPr>
          <w:p>
            <w:r>
              <w:t>3894.42</w:t>
            </w:r>
          </w:p>
        </w:tc>
        <w:tc>
          <w:tcPr>
            <w:tcW w:type="dxa" w:w="2160"/>
          </w:tcPr>
          <w:p>
            <w:r>
              <w:t>-2.40%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深证成指</w:t>
            </w:r>
          </w:p>
        </w:tc>
        <w:tc>
          <w:tcPr>
            <w:tcW w:type="dxa" w:w="2160"/>
          </w:tcPr>
          <w:p>
            <w:r>
              <w:t>13890.15</w:t>
            </w:r>
          </w:p>
        </w:tc>
        <w:tc>
          <w:tcPr>
            <w:tcW w:type="dxa" w:w="2160"/>
          </w:tcPr>
          <w:p>
            <w:r>
              <w:t>-5.01%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创业板指</w:t>
            </w:r>
          </w:p>
        </w:tc>
        <w:tc>
          <w:tcPr>
            <w:tcW w:type="dxa" w:w="2160"/>
          </w:tcPr>
          <w:p>
            <w:r>
              <w:t>3473.49</w:t>
            </w:r>
          </w:p>
        </w:tc>
        <w:tc>
          <w:tcPr>
            <w:tcW w:type="dxa" w:w="2160"/>
          </w:tcPr>
          <w:p>
            <w:r>
              <w:t>-6.26%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科创50</w:t>
            </w:r>
          </w:p>
        </w:tc>
        <w:tc>
          <w:tcPr>
            <w:tcW w:type="dxa" w:w="2160"/>
          </w:tcPr>
          <w:p>
            <w:r>
              <w:t>1667.52</w:t>
            </w:r>
          </w:p>
        </w:tc>
        <w:tc>
          <w:tcPr>
            <w:tcW w:type="dxa" w:w="2160"/>
          </w:tcPr>
          <w:p>
            <w:r>
              <w:t>-6.89%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沪深300</w:t>
            </w:r>
          </w:p>
        </w:tc>
        <w:tc>
          <w:tcPr>
            <w:tcW w:type="dxa" w:w="2160"/>
          </w:tcPr>
          <w:p>
            <w:r>
              <w:t>4588.70</w:t>
            </w:r>
          </w:p>
        </w:tc>
        <w:tc>
          <w:tcPr>
            <w:tcW w:type="dxa" w:w="2160"/>
          </w:tcPr>
          <w:p>
            <w:r>
              <w:t>-2.90%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中证500</w:t>
            </w:r>
          </w:p>
        </w:tc>
        <w:tc>
          <w:tcPr>
            <w:tcW w:type="dxa" w:w="2160"/>
          </w:tcPr>
          <w:p>
            <w:r>
              <w:t>7783.46</w:t>
            </w:r>
          </w:p>
        </w:tc>
        <w:tc>
          <w:tcPr>
            <w:tcW w:type="dxa" w:w="2160"/>
          </w:tcPr>
          <w:p>
            <w:r>
              <w:t>-4.81%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外资监测</w:t>
      </w:r>
    </w:p>
    <w:p>
      <w:r>
        <w:t xml:space="preserve">  南向资金：净卖出 106.2 亿（港股通，A股情绪反向指标）</w:t>
      </w:r>
      <w:r>
        <w:rPr>
          <w:color w:val="8B949E"/>
          <w:sz w:val="18"/>
        </w:rPr>
        <w:br/>
        <w:t xml:space="preserve">  注：北向净买入自2024年证监会新规后不再公开发布，外资监测由南向资金+外部联动构成</w:t>
      </w:r>
    </w:p>
    <w:p>
      <w:r>
        <w:rPr>
          <w:b/>
        </w:rPr>
        <w:t>大资金方向（替代两融）：</w:t>
      </w:r>
      <w:r>
        <w:t>30 股聚合净流入 16.19 亿  |  大单净 10.35 亿  |  涨家 17 / 跌家 13</w:t>
      </w:r>
      <w:r>
        <w:rPr>
          <w:color w:val="8B949E"/>
          <w:sz w:val="18"/>
        </w:rPr>
        <w:br/>
        <w:t>注：数据来自新浪资金流（大单/特大单估算），非融资融券官方数据，仅供参考大资金方向</w:t>
      </w:r>
    </w:p>
    <w:p>
      <w:r>
        <w:rPr>
          <w:b/>
        </w:rPr>
        <w:t>宏观数据：</w:t>
      </w:r>
      <w:r>
        <w:t>CPI 0.5%  |  PPI 3.5%  |  PMI 49.2  |  M2 8.0%  |  LPR 1Y 3.0%</w:t>
      </w:r>
    </w:p>
    <w:p/>
    <w:p>
      <w:pPr>
        <w:pStyle w:val="Heading2"/>
      </w:pPr>
      <w:r>
        <w:t>量化分析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市场概览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本时段核心变化是：尾盘恐慌抛售加剧，深市与科创成长股加速赶底，上证相对抗跌但失守3900点。全日A股单边重挫，上证指数收跌2.40%报3894.42点，深证成指跌5.01%，创业板指跌6.26%，科创50重挫6.89%。全市场成交额放大至2.51万亿元，较上一时段（14:01）增加24.7%，放量下跌表明抛压沉重，市场进入短期恐慌释放阶段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核心指标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本时段核心变化是：南向资金净卖出由上一时段的-30.5亿急速扩大至全日-106.2亿（较上一时段净卖出增加75.7亿），内资系统性降仓位信号显著。核心数据如下：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涨跌分布</w:t>
      </w:r>
      <w:r>
        <w:rPr>
          <w:rFonts w:ascii="微软雅黑" w:hAnsi="微软雅黑" w:eastAsia="微软雅黑"/>
          <w:color w:val="1A1A1A"/>
          <w:sz w:val="22"/>
        </w:rPr>
        <w:t>：全市场上涨仅41家，下跌958家，平盘1家，上涨比例4.1%；涨停4家，跌停122家。跌停家数为涨停的30倍，市场宽度极差，空头绝对主导。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成交额</w:t>
      </w:r>
    </w:p>
    <w:p/>
    <w:p>
      <w:r>
        <w:rPr>
          <w:color w:val="8B949E"/>
          <w:sz w:val="16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