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3982.64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14704.27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3740.16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1788.85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4741.10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8184.56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本时段核心变化是隔夜美股小跌与昨日A股涨势快速衰竭形成共振，开盘风险偏好承压。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纳斯达克隔夜收跌0.32%至26644.91，虽幅度有限，但结合昨日创业板指较上一时段回落3.12pp、科创50回落4.11pp的涨势衰竭信号，今日成长方向大概率低开。富时A50期货数据缺失，外部联动信号不完整，仅能依靠内盘量价；昨日同期各指数横盘延续，今日若低开幅度超过-0.3%将打破横盘结构，需从动能衰竭转向警惕趋势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本时段核心变化是存量博弈下板块快速轮动与偏弱宏观数据共振，市场缺乏持续性主线，追高风险加大。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领涨板块完全替换为玻璃、船舶、传媒，接替次新、陶瓷、电子，轮动速度过快，量化特征明显，赚钱效应难以扩散。宏观方面，7月CPI同比0.5%（前值1.0%）、PPI同比3.5%（前值4.1%）同步回落，制造业/服务业PMI双双低于荣枯线49.2/49.3，M1同比4.0%与M2同比8.0%剪刀差走阔，社融增量同比少增8606亿元，基本面不支持持续上攻。今日无关键数据发布，核心跟踪南向资金：若港股通净买入&gt;30亿元则内资分流、A股情绪偏弱；同时观察离岸人民币和恒生科技能否与A股形成一致的risk-on/off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