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3986.97</w:t>
            </w:r>
          </w:p>
        </w:tc>
        <w:tc>
          <w:tcPr>
            <w:tcW w:type="dxa" w:w="2160"/>
          </w:tcPr>
          <w:p>
            <w:r>
              <w:t>+0.02%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13933.18</w:t>
            </w:r>
          </w:p>
        </w:tc>
        <w:tc>
          <w:tcPr>
            <w:tcW w:type="dxa" w:w="2160"/>
          </w:tcPr>
          <w:p>
            <w:r>
              <w:t>-0.58%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3407.11</w:t>
            </w:r>
          </w:p>
        </w:tc>
        <w:tc>
          <w:tcPr>
            <w:tcW w:type="dxa" w:w="2160"/>
          </w:tcPr>
          <w:p>
            <w:r>
              <w:t>-0.92%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1659.33</w:t>
            </w:r>
          </w:p>
        </w:tc>
        <w:tc>
          <w:tcPr>
            <w:tcW w:type="dxa" w:w="2160"/>
          </w:tcPr>
          <w:p>
            <w:r>
              <w:t>-1.49%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4622.16</w:t>
            </w:r>
          </w:p>
        </w:tc>
        <w:tc>
          <w:tcPr>
            <w:tcW w:type="dxa" w:w="2160"/>
          </w:tcPr>
          <w:p>
            <w:r>
              <w:t>-0.06%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7904.25</w:t>
            </w:r>
          </w:p>
        </w:tc>
        <w:tc>
          <w:tcPr>
            <w:tcW w:type="dxa" w:w="2160"/>
          </w:tcPr>
          <w:p>
            <w:r>
              <w:t>-0.60%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61.5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1.66 亿  |  大单净 0.61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A股午盘总结报告（2026-09-01 11:30）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本时段核心变化是：权重护盘、科技杀跌，南向资金大幅净流入61.5亿叠加港股走弱，内外资情绪同步转空，板块快速轮动暴露赚钱效应缺失。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上午A股呈现明显的分化格局：上证指数微涨0.02%勉强收于3986.97，深证成指下跌0.58%，创业板指下跌0.92%，科创50重挫1.49%。</w:t>
      </w:r>
      <w:r>
        <w:rPr>
          <w:rFonts w:ascii="微软雅黑" w:hAnsi="微软雅黑" w:eastAsia="微软雅黑"/>
          <w:b/>
          <w:color w:val="D29922"/>
          <w:sz w:val="22"/>
        </w:rPr>
        <w:t>较昨日同期，上证指数回升0.22个百分点，深成指、创业板指、沪深300分别缩窄跌幅0.42pp、0.36pp、0.74pp，表明跌势有所减弱，但科创50仅改善0.12pp，横盘延续且技术面偏弱。</w:t>
      </w:r>
      <w:r>
        <w:rPr>
          <w:rFonts w:ascii="微软雅黑" w:hAnsi="微软雅黑" w:eastAsia="微软雅黑"/>
          <w:color w:val="1A1A1A"/>
          <w:sz w:val="22"/>
        </w:rPr>
        <w:t>整体来看，市场进入权重护盘、题材退潮的防御阶段，赚钱效应明显下降，属于</w:t>
      </w:r>
      <w:r>
        <w:rPr>
          <w:rFonts w:ascii="微软雅黑" w:hAnsi="微软雅黑" w:eastAsia="微软雅黑"/>
          <w:b/>
          <w:color w:val="D29922"/>
          <w:sz w:val="22"/>
        </w:rPr>
        <w:t>动能衰竭</w:t>
      </w:r>
      <w:r>
        <w:rPr>
          <w:rFonts w:ascii="微软雅黑" w:hAnsi="微软雅黑" w:eastAsia="微软雅黑"/>
          <w:color w:val="1A1A1A"/>
          <w:sz w:val="22"/>
        </w:rPr>
        <w:t>而非趋势反转。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涨跌比与市场宽度</w:t>
      </w:r>
      <w:r>
        <w:rPr>
          <w:rFonts w:ascii="微软雅黑" w:hAnsi="微软雅黑" w:eastAsia="微软雅黑"/>
          <w:color w:val="1A1A1A"/>
          <w:sz w:val="22"/>
        </w:rPr>
        <w:t>：全市场上涨508家、下跌481家，涨跌比1.06，上涨占比50.8%，但涨停仅7家、跌停0家。</w:t>
      </w:r>
      <w:r>
        <w:rPr>
          <w:rFonts w:ascii="微软雅黑" w:hAnsi="微软雅黑" w:eastAsia="微软雅黑"/>
          <w:b/>
          <w:color w:val="D29922"/>
          <w:sz w:val="22"/>
        </w:rPr>
        <w:t>涨停数量稀少，说明市场处于“指数不跌、个股不涨”的防守状态，主动进攻意愿不足。</w:t>
      </w:r>
      <w:r>
        <w:rPr>
          <w:rFonts w:ascii="微软雅黑" w:hAnsi="微软雅黑" w:eastAsia="微软雅黑"/>
          <w:color w:val="1A1A1A"/>
          <w:sz w:val="22"/>
        </w:rPr>
        <w:t>较昨日同期，上涨家数占比略有改善，但涨停家数未见放大，反映情绪修复有限。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：两市半日成交额约1.35万亿元，量能仍处高位。放量而指数滞涨，尤其深市、创业板量增价跌，显示资金在高位换手、分歧加大。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：半日净买入61.54亿元，较昨日同期大幅增加26.4亿，属于显著放量。</w:t>
      </w:r>
      <w:r>
        <w:rPr>
          <w:rFonts w:ascii="微软雅黑" w:hAnsi="微软雅黑" w:eastAsia="微软雅黑"/>
          <w:b/>
          <w:color w:val="D29922"/>
          <w:sz w:val="22"/>
        </w:rPr>
        <w:t>南向资金大幅净买入（&gt;30亿）为A股情绪反向指标，指向内资加速南下避险，A股场内情绪偏弱。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：恒生指数下跌1.12%，恒生科技下跌0.98%，离岸人民币微幅贬值0.05%，外部方向共识偏空（分值-4.8，置信度中等）。</w:t>
      </w:r>
      <w:r>
        <w:rPr>
          <w:rFonts w:ascii="微软雅黑" w:hAnsi="微软雅黑" w:eastAsia="微软雅黑"/>
          <w:b/>
          <w:color w:val="D29922"/>
          <w:sz w:val="22"/>
        </w:rPr>
        <w:t>南向大幅净买入+外部联动看空=内外资同步撤离，对A股构成压力。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3. 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上午领涨板块切换明显，</w:t>
      </w:r>
      <w:r>
        <w:rPr>
          <w:rFonts w:ascii="微软雅黑" w:hAnsi="微软雅黑" w:eastAsia="微软雅黑"/>
          <w:b/>
          <w:color w:val="D29922"/>
          <w:sz w:val="22"/>
        </w:rPr>
        <w:t>酿酒行业（+0.80%）、农林牧渔（+0.39%）、商业百货（+0.25%）、农药化肥（+0.23%）、酒店旅游（+0.21%）</w:t>
      </w:r>
      <w:r>
        <w:rPr>
          <w:rFonts w:ascii="微软雅黑" w:hAnsi="微软雅黑" w:eastAsia="微软雅黑"/>
          <w:color w:val="1A1A1A"/>
          <w:sz w:val="22"/>
        </w:rPr>
        <w:t>接棒走强，消费与农业防御属性凸显。而昨日同期领涨的</w:t>
      </w:r>
      <w:r>
        <w:rPr>
          <w:rFonts w:ascii="微软雅黑" w:hAnsi="微软雅黑" w:eastAsia="微软雅黑"/>
          <w:b/>
          <w:color w:val="D29922"/>
          <w:sz w:val="22"/>
        </w:rPr>
        <w:t>家具行业、传媒娱乐、陶瓷行业</w:t>
      </w:r>
      <w:r>
        <w:rPr>
          <w:rFonts w:ascii="微软雅黑" w:hAnsi="微软雅黑" w:eastAsia="微软雅黑"/>
          <w:color w:val="1A1A1A"/>
          <w:sz w:val="22"/>
        </w:rPr>
        <w:t>中，陶瓷行业今日直接转为领跌（-1.91%），传媒娱乐涨幅收窄至+0.16%，板块轮动速度极快，一日游特征突出。</w:t>
      </w:r>
      <w:r>
        <w:rPr>
          <w:rFonts w:ascii="微软雅黑" w:hAnsi="微软雅黑" w:eastAsia="微软雅黑"/>
          <w:b/>
          <w:color w:val="D29922"/>
          <w:sz w:val="22"/>
        </w:rPr>
        <w:t>较上一时段，领涨板块完全替换，说明资金缺乏持续攻击主线，更多是低位补涨与避险交易。</w:t>
      </w:r>
      <w:r>
        <w:rPr>
          <w:rFonts w:ascii="微软雅黑" w:hAnsi="微软雅黑" w:eastAsia="微软雅黑"/>
          <w:color w:val="1A1A1A"/>
          <w:sz w:val="22"/>
        </w:rPr>
        <w:t>电子器件（-0.68%）、次新股（-1.67%）等前期活跃方向领跌，进一步打击做多情绪。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4.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：开盘3979.88后窄幅震荡，收于3986.97，振幅极小。价格仍处于5日均线附近，但MACD红柱趋于缩短，RSI在50附近走平，KDJ中位缠绕，短线多空平衡。</w:t>
      </w:r>
      <w:r>
        <w:rPr>
          <w:rFonts w:ascii="微软雅黑" w:hAnsi="微软雅黑" w:eastAsia="微软雅黑"/>
          <w:b/>
          <w:color w:val="D29922"/>
          <w:sz w:val="22"/>
        </w:rPr>
        <w:t>较昨日同期，指数重心未明显下移，但缺乏上攻量能，属于动能衰竭的盘整。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深证成指/创业板指</w:t>
      </w:r>
      <w:r>
        <w:rPr>
          <w:rFonts w:ascii="微软雅黑" w:hAnsi="微软雅黑" w:eastAsia="微软雅黑"/>
          <w:color w:val="1A1A1A"/>
          <w:sz w:val="22"/>
        </w:rPr>
        <w:t>：深成指跌破14000点整数关，创业板指低开低走，短期均线构成反压。MACD绿柱扩大，RSI跌破50，KDJ死叉后向下发散，</w:t>
      </w:r>
      <w:r>
        <w:rPr>
          <w:rFonts w:ascii="微软雅黑" w:hAnsi="微软雅黑" w:eastAsia="微软雅黑"/>
          <w:b/>
          <w:color w:val="D29922"/>
          <w:sz w:val="22"/>
        </w:rPr>
        <w:t>技术形态偏空，反弹仅为跌势减缓而非反转。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：重挫1.49%，明显跌破短期均线系统，量能萎缩，多空动能失衡，KDJ低位钝化，存在超跌修复需求，但趋势仍然向下。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5. 量化视角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资金流方面，样本监测显示大单净流入仅0.61亿元，流入个股数量18只、流出12只，资金整体呈弱平衡，未出现明显的机构抄底迹象。</w:t>
      </w:r>
      <w:r>
        <w:rPr>
          <w:rFonts w:ascii="微软雅黑" w:hAnsi="微软雅黑" w:eastAsia="微软雅黑"/>
          <w:b/>
          <w:color w:val="D29922"/>
          <w:sz w:val="22"/>
        </w:rPr>
        <w:t>量价关系上，全市场放量但指数涨跌互现，深市放量下跌、沪市放量滞涨，属于典型的“高位分歧型资金结构”。</w:t>
      </w:r>
      <w:r>
        <w:rPr>
          <w:rFonts w:ascii="微软雅黑" w:hAnsi="微软雅黑" w:eastAsia="微软雅黑"/>
          <w:color w:val="1A1A1A"/>
          <w:sz w:val="22"/>
        </w:rPr>
        <w:t>市场宽度（上涨占比50.8%）勉强过半，但涨停家数（7家）与1.35万亿成交额严重不匹配，说明资金集中度低、有效赚钱效应弱。</w:t>
      </w:r>
      <w:r>
        <w:rPr>
          <w:rFonts w:ascii="微软雅黑" w:hAnsi="微软雅黑" w:eastAsia="微软雅黑"/>
          <w:b/>
          <w:color w:val="D29922"/>
          <w:sz w:val="22"/>
        </w:rPr>
        <w:t>南向资金单边净买入61.5亿，进一步抽离内盘活跃资金，A股微观流动性边际转差。</w:t>
      </w:r>
      <w:r>
        <w:rPr>
          <w:rFonts w:ascii="微软雅黑" w:hAnsi="微软雅黑" w:eastAsia="微软雅黑"/>
          <w:color w:val="1A1A1A"/>
          <w:sz w:val="22"/>
        </w:rPr>
        <w:t>综合判断，当前为缩量回调后期、权重护盘导致的“伪稳定”，真实的进攻动能正在衰竭。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6. 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7月宏观数据延续“经济弱、政策稳”组合。</w:t>
      </w:r>
      <w:r>
        <w:rPr>
          <w:rFonts w:ascii="微软雅黑" w:hAnsi="微软雅黑" w:eastAsia="微软雅黑"/>
          <w:color w:val="1A1A1A"/>
          <w:sz w:val="22"/>
        </w:rPr>
        <w:t>CPI同比0.5%回落，核心CPI 0.9%，PPI同比3.5%回落，制造业PMI 49.2跌破荣枯线，服务业PMI 49.3同步收缩，印证终端需求疲弱。但M2同比8.0%、社融存量同比7.4%，流动性环境并未收紧，LPR连续14个月不变，货币政策维持宽松但传导受阻。在此背景下，市场风险偏好难以系统性抬升，资金更倾向于低估值、高股息、防御性消费（酿酒、食品、商业百货）和政策驱动的农业（种业），而高估值科技成长股（科创50重挫）则面临持续的估值挤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7.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内外资共振流出</w:t>
      </w:r>
      <w:r>
        <w:rPr>
          <w:rFonts w:ascii="微软雅黑" w:hAnsi="微软雅黑" w:eastAsia="微软雅黑"/>
          <w:color w:val="1A1A1A"/>
          <w:sz w:val="22"/>
        </w:rPr>
        <w:t>：南向资金大幅净买入61.5亿 + 港股下跌 + 离岸人民币贬值，外资与内资共同撤离的风险信号明确，午后可能出现进一步抛压。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</w:t>
      </w:r>
      <w:r>
        <w:rPr>
          <w:rFonts w:ascii="微软雅黑" w:hAnsi="微软雅黑" w:eastAsia="微软雅黑"/>
          <w:color w:val="1A1A1A"/>
          <w:sz w:val="22"/>
        </w:rPr>
        <w:t>：领涨板块从昨日家具、传媒、陶瓷切换至今日酿酒、农业、商业百货，一日游特征极强，追高极易被套。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科技成长破位</w:t>
      </w:r>
      <w:r>
        <w:rPr>
          <w:rFonts w:ascii="微软雅黑" w:hAnsi="微软雅黑" w:eastAsia="微软雅黑"/>
          <w:color w:val="1A1A1A"/>
          <w:sz w:val="22"/>
        </w:rPr>
        <w:t>：科创50半日大跌1.49%，电子器件等板块同步走弱，若午后不能止跌，可能引发指数二次探底。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：沪深两市成交额维持高位但指数上攻乏力，谨防放量滞涨后的多杀多。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宏观数据压制</w:t>
      </w:r>
      <w:r>
        <w:rPr>
          <w:rFonts w:ascii="微软雅黑" w:hAnsi="微软雅黑" w:eastAsia="微软雅黑"/>
          <w:color w:val="1A1A1A"/>
          <w:sz w:val="22"/>
        </w:rPr>
        <w:t>：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