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收盘报告</w:t>
      </w:r>
    </w:p>
    <w:p>
      <w:pPr>
        <w:jc w:val="center"/>
      </w:pPr>
      <w:r>
        <w:rPr>
          <w:color w:val="8B949E"/>
          <w:sz w:val="20"/>
        </w:rPr>
        <w:t>2026-08-12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3948.49</w:t>
            </w:r>
          </w:p>
        </w:tc>
        <w:tc>
          <w:tcPr>
            <w:tcW w:type="dxa" w:w="2160"/>
          </w:tcPr>
          <w:p>
            <w:r>
              <w:t>+0.37%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14416.69</w:t>
            </w:r>
          </w:p>
        </w:tc>
        <w:tc>
          <w:tcPr>
            <w:tcW w:type="dxa" w:w="2160"/>
          </w:tcPr>
          <w:p>
            <w:r>
              <w:t>+1.10%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3602.28</w:t>
            </w:r>
          </w:p>
        </w:tc>
        <w:tc>
          <w:tcPr>
            <w:tcW w:type="dxa" w:w="2160"/>
          </w:tcPr>
          <w:p>
            <w:r>
              <w:t>+1.50%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1737.08</w:t>
            </w:r>
          </w:p>
        </w:tc>
        <w:tc>
          <w:tcPr>
            <w:tcW w:type="dxa" w:w="2160"/>
          </w:tcPr>
          <w:p>
            <w:r>
              <w:t>+1.61%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4693.04</w:t>
            </w:r>
          </w:p>
        </w:tc>
        <w:tc>
          <w:tcPr>
            <w:tcW w:type="dxa" w:w="2160"/>
          </w:tcPr>
          <w:p>
            <w:r>
              <w:t>+0.63%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8045.99</w:t>
            </w:r>
          </w:p>
        </w:tc>
        <w:tc>
          <w:tcPr>
            <w:tcW w:type="dxa" w:w="2160"/>
          </w:tcPr>
          <w:p>
            <w:r>
              <w:t>+0.98%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北向活跃度：成交 26800 亿（高活跃度）</w:t>
      </w:r>
    </w:p>
    <w:p>
      <w:r>
        <w:t xml:space="preserve">  沪/深偏好：沪市 41%（偏成长进攻）</w:t>
      </w:r>
    </w:p>
    <w:p>
      <w:r>
        <w:t xml:space="preserve">  南向资金：净卖出 19.9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注：北向净买入自2024年证监会新规后不再公开发布，方向由活跃度+南向+外部联动综合推断</w:t>
      </w:r>
    </w:p>
    <w:p>
      <w:r>
        <w:rPr>
          <w:b/>
        </w:rPr>
        <w:t>大资金方向（替代两融）：</w:t>
      </w:r>
      <w:r>
        <w:t>30 股聚合净流入 -31.31 亿  |  大单净 -32.8 亿  |  涨家 8 / 跌家 22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本时段核心变化是科创50尾盘加速上涨，全市场放量至2.13万亿，内资情绪显著波动，南向资金净卖出近20亿。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今日A股全线走强，指数全面收涨。科创50和创业板指分别以1.61%和1.50%的涨幅领跑，较昨日同期分别加速上涨3.24和1.18个百分点，成长风格在尾盘时段获得明显强化。全市场成交额放大至2.13万亿，较昨日同期放量逾20%，显示增量资金入场迹象明显，情绪回暖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：全市场上涨777家，下跌210家，上涨比例达77.7%。市场呈现普涨格局，赚钱效应极佳。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：全日成交总额21283亿，较上一时段放量21.7%，较昨日同期显著放大。量能有效配合指数上涨，信号健康。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外资监测</w:t>
      </w:r>
      <w:r>
        <w:rPr>
          <w:rFonts w:ascii="微软雅黑" w:hAnsi="微软雅黑" w:eastAsia="微软雅黑"/>
          <w:color w:val="1A1A1A"/>
          <w:sz w:val="22"/>
        </w:rPr>
        <w:t>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活跃度：北向成交总额26800亿，较昨日同期增加20.3%，外资参与热度极高。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偏好：沪市成交占比41%，外资偏好明显偏向深市，呈“成长进攻”态势，与科创、创业板领涨格局一致。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南向资金：港股通净卖出19.95亿，较昨日同期净卖出规模扩大22.7亿。内资出现回流A股迹象，情绪偏强。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外资监测解读</w:t>
      </w:r>
      <w:r>
        <w:rPr>
          <w:rFonts w:ascii="微软雅黑" w:hAnsi="微软雅黑" w:eastAsia="微软雅黑"/>
          <w:color w:val="1A1A1A"/>
          <w:sz w:val="22"/>
        </w:rPr>
        <w:t>：北向高活跃度叠加南向净卖出，形成“内外资均在A股”的偏多格局。外资进攻深市成长股，内资回流强化了买盘。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领涨板块</w:t>
      </w:r>
      <w:r>
        <w:rPr>
          <w:rFonts w:ascii="微软雅黑" w:hAnsi="微软雅黑" w:eastAsia="微软雅黑"/>
          <w:color w:val="1A1A1A"/>
          <w:sz w:val="22"/>
        </w:rPr>
        <w:t>：次新股（+2.25%）成为情绪的风向标，显示高风险偏好资金活跃。电子器件（+0.40%）、有色金属（+0.40%）紧随其后，表明市场主线围绕“科技成长”与“资源”两条线索展开。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领跌板块</w:t>
      </w:r>
      <w:r>
        <w:rPr>
          <w:rFonts w:ascii="微软雅黑" w:hAnsi="微软雅黑" w:eastAsia="微软雅黑"/>
          <w:color w:val="1A1A1A"/>
          <w:sz w:val="22"/>
        </w:rPr>
        <w:t>：跌幅前列为陶瓷行业（-0.42%）和石油行业（-0.12%），跌幅轻微，并未形成显著的杀跌力量。市场整体抛压极轻。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驱动分析</w:t>
      </w:r>
      <w:r>
        <w:rPr>
          <w:rFonts w:ascii="微软雅黑" w:hAnsi="微软雅黑" w:eastAsia="微软雅黑"/>
          <w:color w:val="1A1A1A"/>
          <w:sz w:val="22"/>
        </w:rPr>
        <w:t>：今日行情由情绪回暖与技术性反弹共同驱动，超跌成长股（科创、创业板）作为高beta品种弹性最大，获得资金优先回补。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动能状态：较昨日同期全面“动能加速”。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</w:t>
      </w:r>
      <w:r>
        <w:rPr>
          <w:rFonts w:ascii="微软雅黑" w:hAnsi="微软雅黑" w:eastAsia="微软雅黑"/>
          <w:color w:val="1A1A1A"/>
          <w:sz w:val="22"/>
        </w:rPr>
        <w:t>：全日加速上涨3.24pp，动能突变，是今日盘面核心发动机。技术结构上属于强势的底部突破形态。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创业板指</w:t>
      </w:r>
      <w:r>
        <w:rPr>
          <w:rFonts w:ascii="微软雅黑" w:hAnsi="微软雅黑" w:eastAsia="微软雅黑"/>
          <w:color w:val="1A1A1A"/>
          <w:sz w:val="22"/>
        </w:rPr>
        <w:t>：较上一时段加速上涨0.32pp，尾盘抢筹迹象明显。日线级别或已站上关键短期均线。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上证指数/沪深300</w:t>
      </w:r>
      <w:r>
        <w:rPr>
          <w:rFonts w:ascii="微软雅黑" w:hAnsi="微软雅黑" w:eastAsia="微软雅黑"/>
          <w:color w:val="1A1A1A"/>
          <w:sz w:val="22"/>
        </w:rPr>
        <w:t>：呈“横盘后加速”态势，虽涨幅落后，但在成长股搭建好舞台后，尾盘同样得到资金拉动，整体节奏健康。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今日量价齐升，各指数MACD/RSI/KDJ等指标大概率同步转强，短期内技术面进入多头主导格局。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：参考数据显示，大单/特大单资金日内整体呈小幅净卖出（-31.31亿），但考虑到仅覆盖30只样本股，其对全市场代表意义有限。当前市场主要由情绪和分散的中小资金驱动。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：全市场成交额放大超两成，但主要指数涨幅在1%上下，呈现“放量缓涨”格局。这通常是底部区域资金耐心吸筹的特征，而非过热信号。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：超过77%的个股上涨，市场宽度极佳。这为行情的持续性提供了坚实基础，指数上涨并非仅由权重股拉动。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宏观数据</w:t>
      </w:r>
      <w:r>
        <w:rPr>
          <w:rFonts w:ascii="微软雅黑" w:hAnsi="微软雅黑" w:eastAsia="微软雅黑"/>
          <w:color w:val="1A1A1A"/>
          <w:sz w:val="22"/>
        </w:rPr>
        <w:t>：最新7月PMI数据在枯荣线以下，CPI及PPI涨幅均有所回落，显示经济复苏动能短期遇阻。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市场逻辑</w:t>
      </w:r>
      <w:r>
        <w:rPr>
          <w:rFonts w:ascii="微软雅黑" w:hAnsi="微软雅黑" w:eastAsia="微软雅黑"/>
          <w:color w:val="1A1A1A"/>
          <w:sz w:val="22"/>
        </w:rPr>
        <w:t>：经济数据的“现实”偏弱，反而强化了市场对“政策”进一步发力的预期。LPR已连续14个月未变，在净息差处于历史低位的背景下，市场博弈未来降准或结构性货币工具出台。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流动性</w:t>
      </w:r>
      <w:r>
        <w:rPr>
          <w:rFonts w:ascii="微软雅黑" w:hAnsi="微软雅黑" w:eastAsia="微软雅黑"/>
          <w:color w:val="1A1A1A"/>
          <w:sz w:val="22"/>
        </w:rPr>
        <w:t>：M2同比增速8.0%，整体宏观流动性环境依然稳健偏宽。今日市场放量可视为流动性充裕在资本市场的映射。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宏观与市场背离风险</w:t>
      </w:r>
      <w:r>
        <w:rPr>
          <w:rFonts w:ascii="微软雅黑" w:hAnsi="微软雅黑" w:eastAsia="微软雅黑"/>
          <w:color w:val="1A1A1A"/>
          <w:sz w:val="22"/>
        </w:rPr>
        <w:t>：经济数据疲弱而股市大涨，两者形成短期背离。若后续政策力度不及预期，可能引发情绪快速修正。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资金持续性风险</w:t>
      </w:r>
      <w:r>
        <w:rPr>
          <w:rFonts w:ascii="微软雅黑" w:hAnsi="微软雅黑" w:eastAsia="微软雅黑"/>
          <w:color w:val="1A1A1A"/>
          <w:sz w:val="22"/>
        </w:rPr>
        <w:t>：南向资金今日净卖出近20亿是积极信号，但需观察其持续性。若后续南向重回大幅净买入，则表明内资回流仅是短线行为。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技术结构风险</w:t>
      </w:r>
      <w:r>
        <w:rPr>
          <w:rFonts w:ascii="微软雅黑" w:hAnsi="微软雅黑" w:eastAsia="微软雅黑"/>
          <w:color w:val="1A1A1A"/>
          <w:sz w:val="22"/>
        </w:rPr>
        <w:t>：以科创50为首的大涨板块，短期累计涨幅较大，面临获利盘回吐压力。上方密集成交区的解套抛压是明日主要考验。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