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2026-08-27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3957.85</w:t>
            </w:r>
          </w:p>
        </w:tc>
        <w:tc>
          <w:tcPr>
            <w:tcW w:type="dxa" w:w="2160"/>
          </w:tcPr>
          <w:p>
            <w:r>
              <w:t>+1.16%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14049.78</w:t>
            </w:r>
          </w:p>
        </w:tc>
        <w:tc>
          <w:tcPr>
            <w:tcW w:type="dxa" w:w="2160"/>
          </w:tcPr>
          <w:p>
            <w:r>
              <w:t>+1.51%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3473.62</w:t>
            </w:r>
          </w:p>
        </w:tc>
        <w:tc>
          <w:tcPr>
            <w:tcW w:type="dxa" w:w="2160"/>
          </w:tcPr>
          <w:p>
            <w:r>
              <w:t>+1.72%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1694.26</w:t>
            </w:r>
          </w:p>
        </w:tc>
        <w:tc>
          <w:tcPr>
            <w:tcW w:type="dxa" w:w="2160"/>
          </w:tcPr>
          <w:p>
            <w:r>
              <w:t>+3.81%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4631.35</w:t>
            </w:r>
          </w:p>
        </w:tc>
        <w:tc>
          <w:tcPr>
            <w:tcW w:type="dxa" w:w="2160"/>
          </w:tcPr>
          <w:p>
            <w:r>
              <w:t>+0.88%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7946.84</w:t>
            </w:r>
          </w:p>
        </w:tc>
        <w:tc>
          <w:tcPr>
            <w:tcW w:type="dxa" w:w="2160"/>
          </w:tcPr>
          <w:p>
            <w:r>
              <w:t>+2.27%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36.1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56.45 亿  |  大单净 55.88 亿  |  涨家 25 / 跌家 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全A成交额突破2.1万亿，较上一时段放量22.8%，科创50加速上行（+3.81%，较上一时段+1.06pp），市场呈现典型的"放量加速"特征。指数普涨但内部分化加剧：半导体链条与农业板块领涨，而电力设备（阳光电源跌停、思源电气跌停）出现高位放量杀跌，板块快速轮动开始显现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当前走势判断：</w:t>
      </w:r>
      <w:r>
        <w:rPr>
          <w:rFonts w:ascii="微软雅黑" w:hAnsi="微软雅黑" w:eastAsia="微软雅黑"/>
          <w:color w:val="1A1A1A"/>
          <w:sz w:val="22"/>
        </w:rPr>
        <w:t>动能加速</w:t>
      </w:r>
      <w:r>
        <w:rPr>
          <w:rFonts w:ascii="微软雅黑" w:hAnsi="微软雅黑" w:eastAsia="微软雅黑"/>
          <w:color w:val="1A1A1A"/>
          <w:sz w:val="22"/>
        </w:rPr>
        <w:t>。上证较上一时段+0.32pp、深证+0.54pp、创业板+0.77pp、科创50+1.06pp，所有核心指数呈同步加速形态，且成交额同步放大22.8%，量价配合健康——短期无衰竭迹象。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：全市场涨695家 / 跌283家 / 平22家，上涨占比69.5%。较上一时段明显改善，全市场宽度偏强。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涨停/跌停</w:t>
      </w:r>
      <w:r>
        <w:rPr>
          <w:rFonts w:ascii="微软雅黑" w:hAnsi="微软雅黑" w:eastAsia="微软雅黑"/>
          <w:color w:val="1A1A1A"/>
          <w:sz w:val="22"/>
        </w:rPr>
        <w:t>：涨停28家，跌停0家。跌停归零说明做空情绪尚未蔓延，但跌停消失也意味着后续情绪可能从"结构性做多"转向"普涨后分化"。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：21024亿，较上一时段+22.8%（放量）。量能突破2万亿，创近时段新高，是真金白银的加速确认，而非缩量空涨。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：净买入36.07亿（其中沪市13.39亿、深市22.68亿），较上一时段+5.3亿。南向大幅净流入=内资南下抄底港股，A股情绪反向指标偏弱。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：恒生指数-0.35%、恒生科技-0.08%、离岸人民币微升0.03%（USD/CNH 6.7198）。三者方向偏空且与A股大涨背离。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信号解读</w:t>
      </w:r>
      <w:r>
        <w:rPr>
          <w:rFonts w:ascii="微软雅黑" w:hAnsi="微软雅黑" w:eastAsia="微软雅黑"/>
          <w:color w:val="1A1A1A"/>
          <w:sz w:val="22"/>
        </w:rPr>
        <w:t>：南向大幅净流入+外部联动看空，两者均指向内外资风险偏好下降，但A股指数却逆势放量加速上行。这是典型的"内盘资金主导行情"，短期受国内流动性或政策预期驱动，但需高度警惕补跌风险——一旦内盘资金边际退潮，缺乏外部接力的情况下回调力度可能较大。未出现沪股通净买入反转信号，但不排除后续沿南向路径出现外资流出加速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板块热点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领涨板块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半导体产业链</w:t>
      </w:r>
      <w:r>
        <w:rPr>
          <w:rFonts w:ascii="微软雅黑" w:hAnsi="微软雅黑" w:eastAsia="微软雅黑"/>
          <w:color w:val="1A1A1A"/>
          <w:sz w:val="22"/>
        </w:rPr>
        <w:t>：集成电路制造 +6.82%（赛微电子涨停20%）、模拟芯片设计 +5.79%（昂瑞微20cm涨停）、分立器件 +4.68%（炬光科技+11.03%）、半导体材料 +5.43%、半导体设备 +4.45%。芯片设计、制造、封测、设备、材料全链条共振，是今日最核心主线。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农业板块</w:t>
      </w:r>
      <w:r>
        <w:rPr>
          <w:rFonts w:ascii="微软雅黑" w:hAnsi="微软雅黑" w:eastAsia="微软雅黑"/>
          <w:color w:val="1A1A1A"/>
          <w:sz w:val="22"/>
        </w:rPr>
        <w:t>：种子 +6.4%（万向德农）、其他种植业 +6.8%（新赛股份+10.07%）、种植业 +5.6%、农用机械 +4.91%（花溪科技30%涨停）。农业板块与半导体并列双主线，属于防御性资金与产业政策预期共振。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稀土/钨</w:t>
      </w:r>
      <w:r>
        <w:rPr>
          <w:rFonts w:ascii="微软雅黑" w:hAnsi="微软雅黑" w:eastAsia="微软雅黑"/>
          <w:color w:val="1A1A1A"/>
          <w:sz w:val="22"/>
        </w:rPr>
        <w:t>：稀土 +4.92%（中国稀土）、钨 +4.97%（中钨高新）。战略资源方向延续强势，与半导体材料形成"科技+资源安全"的双重叙事。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PCB</w:t>
      </w:r>
      <w:r>
        <w:rPr>
          <w:rFonts w:ascii="微软雅黑" w:hAnsi="微软雅黑" w:eastAsia="微软雅黑"/>
          <w:color w:val="1A1A1A"/>
          <w:sz w:val="22"/>
        </w:rPr>
        <w:t>：印制电路板 +5.71%（天津普林+10.02%）。AI算力硬件链条高景气延续。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领跌板块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电力设备/光伏储能</w:t>
      </w:r>
      <w:r>
        <w:rPr>
          <w:rFonts w:ascii="微软雅黑" w:hAnsi="微软雅黑" w:eastAsia="微软雅黑"/>
          <w:color w:val="1A1A1A"/>
          <w:sz w:val="22"/>
        </w:rPr>
        <w:t>：阳光电源-12.25%、思源电气-10.00%、金盘科技-7.71%、明阳电气-6.97%。阳光电源放量跌停，显示前期高位品种遭遇资金大幅撤离。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特高压/电网设备</w:t>
      </w:r>
      <w:r>
        <w:rPr>
          <w:rFonts w:ascii="微软雅黑" w:hAnsi="微软雅黑" w:eastAsia="微软雅黑"/>
          <w:color w:val="1A1A1A"/>
          <w:sz w:val="22"/>
        </w:rPr>
        <w:t>：思源电气-10%、地铁设计-9.97%。电网方向高位杀跌，与电力设备同步走弱。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驱动因素分析</w:t>
      </w:r>
      <w:r>
        <w:rPr>
          <w:rFonts w:ascii="微软雅黑" w:hAnsi="微软雅黑" w:eastAsia="微软雅黑"/>
          <w:color w:val="1A1A1A"/>
          <w:sz w:val="22"/>
        </w:rPr>
        <w:t>：光伏储能板块前期涨幅较高，在指数加速上行阶段反而遭到资金抛售，说明当前市场并非全面做多，而是资金从高位板块向半导体和农业板块快速迁移，轮动节奏明显加快。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收于3957.85，涨幅+1.16%。价格逼近4000点整数关口，距离2025年高点区域仅一步。指数处于加速上行通道，量能配合良好，MA短期均线多头排列。但RSI已进入超买区域（估算75+），KDJ高位钝化，短期存在技术性回踩需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深证成指</w:t>
      </w:r>
      <w:r>
        <w:rPr>
          <w:rFonts w:ascii="微软雅黑" w:hAnsi="微软雅黑" w:eastAsia="微软雅黑"/>
          <w:color w:val="1A1A1A"/>
          <w:sz w:val="22"/>
        </w:rPr>
        <w:t>：+1.51%，站上14000点。MACD红柱放大，日线级别多头信号明确。较上一时段+0.54pp加速，动能强劲。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：+1.72%，收于3473.62。创指受阳光电源跌停拖累，涨幅不及科创50，但也处于上升趋势中。较上一时段+0.77pp，加速幅度较大。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：+3.81%，是本时段最强指数。较上一时段+1.06pp，为所有指数中加速最猛者，半导体权重集中，量价齐升格局最清晰。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沪深300 / 中证500</w:t>
      </w:r>
      <w:r>
        <w:rPr>
          <w:rFonts w:ascii="微软雅黑" w:hAnsi="微软雅黑" w:eastAsia="微软雅黑"/>
          <w:color w:val="1A1A1A"/>
          <w:sz w:val="22"/>
        </w:rPr>
        <w:t>：沪深300 +0.88%，中证500 +2.27%。中证500明显强于沪深300，说明资金偏好中盘成长而冷落大盘蓝筹，市场风格偏进攻而非防御。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综合判断</w:t>
      </w:r>
      <w:r>
        <w:rPr>
          <w:rFonts w:ascii="微软雅黑" w:hAnsi="微软雅黑" w:eastAsia="微软雅黑"/>
          <w:color w:val="1A1A1A"/>
          <w:sz w:val="22"/>
        </w:rPr>
        <w:t>：技术指标均呈现多头信号，但RSI/KDJ进入超买区后未见明显回调，说明当前是强趋势行情。强趋势中超买信号容易被持续突破，不宜因超买直接翻空，但需将回踩风险提前纳入仓位管理。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量化视角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：新浪资金流样本（30只大单统计）显示净流入56.45亿，大单净流入55.88亿，25只流入/5只流出。大资金方向偏多，与指数的放量加速相印证。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全市场成交额21024亿，较上一时段+22.8%。此前一段时间量能反复在1.6-1.9万亿区间波动，今日一举放大至2.1万亿以上，这是本时段最核心的量化变化。成交额放大超过20%配合指数加速，属于健康的量价齐升，而非量增价滞的派发信号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家数695家（占比69.5%），但需要关注涨幅中位数和涨幅的集中度。领涨板块中半导体和农业占据多数涨停，其他板块涨幅多在2-4%之间，说明上涨宽度虽然不错，但主要收益集中在少数主线板块。如果后续半导体/农业出现退潮，宽度可能迅速收窄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龙虎榜信号</w:t>
      </w:r>
      <w:r>
        <w:rPr>
          <w:rFonts w:ascii="微软雅黑" w:hAnsi="微软雅黑" w:eastAsia="微软雅黑"/>
          <w:color w:val="1A1A1A"/>
          <w:sz w:val="22"/>
        </w:rPr>
        <w:t>：养元饮品跌幅偏离值累计20%（-21.76%）、国仪公司+33.57%、立新能源振幅15%、澳洋健康换手率20%——高位股出现剧烈波动，部分个股筹码松动。尤其是养元饮品30亿成交额伴随20%+跌幅，说明高位个股风险正在累积，资金开始从部分高位品种撤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通胀数据</w:t>
      </w:r>
      <w:r>
        <w:rPr>
          <w:rFonts w:ascii="微软雅黑" w:hAnsi="微软雅黑" w:eastAsia="微软雅黑"/>
          <w:color w:val="1A1A1A"/>
          <w:sz w:val="22"/>
        </w:rPr>
        <w:t>：CPI同比+0.5%（前值1.0%，回落0.5pp），核心CPI +0.9%，PPI同比+3.5%（前值4.1%，回落0.6pp）。CPI涨幅明显回落，PPI同步走弱，显示当前经济仍处于供需偏弱格局，通缩压力未完全解除。不过CPI中猪肉由降转涨4.1%，必需消费品价格出现边际企稳信号。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PMI</w:t>
      </w:r>
      <w:r>
        <w:rPr>
          <w:rFonts w:ascii="微软雅黑" w:hAnsi="微软雅黑" w:eastAsia="微软雅黑"/>
          <w:color w:val="1A1A1A"/>
          <w:sz w:val="22"/>
        </w:rPr>
        <w:t>：7月制造业PMI 49.2，跌破荣枯线，为5个月最低；服务业PMI 49.3同步回落。但高技术制造业PMI 53.3%逆势扩张——这与今日科创50大涨3.81%、半导体链条领涨形成宏观层面的呼应。市场交易的是"高技术制造业相对景气"，而非总量经济复苏。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流动性环境</w:t>
      </w:r>
      <w:r>
        <w:rPr>
          <w:rFonts w:ascii="微软雅黑" w:hAnsi="微软雅黑" w:eastAsia="微软雅黑"/>
          <w:color w:val="1A1A1A"/>
          <w:sz w:val="22"/>
        </w:rPr>
        <w:t>：M2同比+8.0%（6月末），社融存量同比+7.4%，LPR 1年期3.0%/5年期3.5%连续14个月维持不变，7天逆回购利率1.4%。流动性整体保持宽松，但社融增量同比少增8606亿元，说明实体经济融资需求仍然偏弱。在此背景下，货币宽松预期持续对股市形成支撑，今日量能突破2万亿或与政策预期升温相关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外部环境</w:t>
      </w:r>
      <w:r>
        <w:rPr>
          <w:rFonts w:ascii="微软雅黑" w:hAnsi="微软雅黑" w:eastAsia="微软雅黑"/>
          <w:color w:val="1A1A1A"/>
          <w:sz w:val="22"/>
        </w:rPr>
        <w:t>：美股三大指数隔夜小幅收跌（道琼斯-0.21%、标普-0.02%、纳斯达克-0.08%），伦敦金+0.16%至4601.95美元/盎司，WTI原油81美元/桶。外部风险偏好在A股大涨的同一时段偏谨慎，但A股完全走出独立行情，说明本轮上涨以内资驱动为主，外资参与度存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综合</w:t>
      </w:r>
      <w:r>
        <w:rPr>
          <w:rFonts w:ascii="微软雅黑" w:hAnsi="微软雅黑" w:eastAsia="微软雅黑"/>
          <w:color w:val="1A1A1A"/>
          <w:sz w:val="22"/>
        </w:rPr>
        <w:t>：宏观基本面偏弱（CPI/PPI回落、PMI跌破荣枯线），但流动性宽松+政策预期构成市场的主要支撑。今日放量加速上涨更多反映的是流动性驱动和产业政策预期升温，而非宏观基本面改善。在宏观数据与市场走势背离的情况下，需持续跟踪后续是否有实质性政策落地，否则行情持续性存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外部背离风险</w:t>
      </w:r>
      <w:r>
        <w:rPr>
          <w:rFonts w:ascii="微软雅黑" w:hAnsi="微软雅黑" w:eastAsia="微软雅黑"/>
          <w:color w:val="1A1A1A"/>
          <w:sz w:val="22"/>
        </w:rPr>
        <w:t>：外部一致看空（共识分数-2.7），恒生指数-0.35%、恒生科技-0.08%，南向资金大幅净流入36亿。内外资方向均偏空，仅内盘独力推升，这种背离不可持续。若南向净流入继续扩大或港股加速下跌，A股补跌压力将显著上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高位股筹码松动</w:t>
      </w:r>
      <w:r>
        <w:rPr>
          <w:rFonts w:ascii="微软雅黑" w:hAnsi="微软雅黑" w:eastAsia="微软雅黑"/>
          <w:color w:val="1A1A1A"/>
          <w:sz w:val="22"/>
        </w:rPr>
        <w:t>：养元饮品-21.76%、阳光电源-12.25%、思源电气-10.00%，前期高位品种出现集中杀跌。虽然今日跌停为零，但高位股剧烈波动往往是市场情绪由盛转衰的前兆。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板块快速轮动加速</w:t>
      </w:r>
      <w:r>
        <w:rPr>
          <w:rFonts w:ascii="微软雅黑" w:hAnsi="微软雅黑" w:eastAsia="微软雅黑"/>
          <w:color w:val="1A1A1A"/>
          <w:sz w:val="22"/>
        </w:rPr>
        <w:t>：资金从电力设备/光伏撤出，涌入半导体和农业。板块轮动速度加快意味着行情的持续性在下降，追高风险加大。半导体板块涨幅已大，需警惕短期拥挤交易。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超买后的技术回调</w:t>
      </w:r>
      <w:r>
        <w:rPr>
          <w:rFonts w:ascii="微软雅黑" w:hAnsi="微软雅黑" w:eastAsia="微软雅黑"/>
          <w:color w:val="1A1A1A"/>
          <w:sz w:val="22"/>
        </w:rPr>
        <w:t>：上证逼近4000点整数关口，RSI/KDJ均已进入超买区。若量能无法持续维持在2万亿以上，回踩的概率将明显增加。关注3950点附近支撑有效性。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流动性边际变化</w:t>
      </w:r>
      <w:r>
        <w:rPr>
          <w:rFonts w:ascii="微软雅黑" w:hAnsi="微软雅黑" w:eastAsia="微软雅黑"/>
          <w:color w:val="1A1A1A"/>
          <w:sz w:val="22"/>
        </w:rPr>
        <w:t>：M2同比增长8.0%较前值有所回落，社融增量同比少增8606亿元。在宏观去杠杆背景下，股市的流动性驱动是否可持续存在不确定性。若政策预期证伪，量能萎缩将导致行情快速回落。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自动生成，仅供参考，不构成任何投资建议。投资有风险，入市需谨慎。报告中的数据来源于公开接口，不对其准确性做任何保证。本报告仅反映数据所示时点的市场状态，不构成对未来走势的预测或承诺。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