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2026-09-11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3886.80</w:t>
            </w:r>
          </w:p>
        </w:tc>
        <w:tc>
          <w:tcPr>
            <w:tcW w:type="dxa" w:w="2160"/>
          </w:tcPr>
          <w:p>
            <w:r>
              <w:t>-1.21%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13468.32</w:t>
            </w:r>
          </w:p>
        </w:tc>
        <w:tc>
          <w:tcPr>
            <w:tcW w:type="dxa" w:w="2160"/>
          </w:tcPr>
          <w:p>
            <w:r>
              <w:t>-1.10%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3321.61</w:t>
            </w:r>
          </w:p>
        </w:tc>
        <w:tc>
          <w:tcPr>
            <w:tcW w:type="dxa" w:w="2160"/>
          </w:tcPr>
          <w:p>
            <w:r>
              <w:t>-0.50%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1550.80</w:t>
            </w:r>
          </w:p>
        </w:tc>
        <w:tc>
          <w:tcPr>
            <w:tcW w:type="dxa" w:w="2160"/>
          </w:tcPr>
          <w:p>
            <w:r>
              <w:t>-1.17%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4508.68</w:t>
            </w:r>
          </w:p>
        </w:tc>
        <w:tc>
          <w:tcPr>
            <w:tcW w:type="dxa" w:w="2160"/>
          </w:tcPr>
          <w:p>
            <w:r>
              <w:t>-0.87%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7578.93</w:t>
            </w:r>
          </w:p>
        </w:tc>
        <w:tc>
          <w:tcPr>
            <w:tcW w:type="dxa" w:w="2160"/>
          </w:tcPr>
          <w:p>
            <w:r>
              <w:t>-1.80%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32.6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-10.9 亿  |  大单净 -12.49 亿  |  涨家 15 / 跌家 15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放量普跌，市场宽度崩至极致（上涨家数仅101家、涨停仅1家），指数跌幅虽不算极端，但内资情绪已近冰点。全天成交19510亿，较上一时段放量20.2%、较昨日同期放量19.8%，属于放量下杀而非缩量阴跌，量价配合呈典型的抛压释放状态。上证收3886.8点（-1.21%），加速下行格局确立；创业板指相对抗跌（-0.50%），与中证500（-1.80%）之间的裂口扩大，市场结构从“普涨”切向“普跌+局部防御”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：上涨101家 / 下跌892家 / 平盘7家，上涨比例10.1%，为极端弱势水平；涨停仅1家、跌停5家（实际跌幅-10%以上个股超20只），真实亏钱效应远大于表面跌停数。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：19510亿，较上一时段+20.2%、较昨日同期+19.8%，放量确认抛压。中位成交额9522万、平均换手3.78%，说明非权重个股流动性仍在，但承接力不足。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南向资金（外资监测·核心）</w:t>
      </w:r>
      <w:r>
        <w:rPr>
          <w:rFonts w:ascii="微软雅黑" w:hAnsi="微软雅黑" w:eastAsia="微软雅黑"/>
          <w:color w:val="1A1A1A"/>
          <w:sz w:val="22"/>
        </w:rPr>
        <w:t>：南向净买入</w:t>
      </w:r>
      <w:r>
        <w:rPr>
          <w:rFonts w:ascii="微软雅黑" w:hAnsi="微软雅黑" w:eastAsia="微软雅黑"/>
          <w:b/>
          <w:color w:val="D29922"/>
          <w:sz w:val="22"/>
        </w:rPr>
        <w:t>+32.58亿</w:t>
      </w:r>
      <w:r>
        <w:rPr>
          <w:rFonts w:ascii="微软雅黑" w:hAnsi="微软雅黑" w:eastAsia="微软雅黑"/>
          <w:color w:val="1A1A1A"/>
          <w:sz w:val="22"/>
        </w:rPr>
        <w:t>，较上一时段+5.7亿，较昨日同期（-5.0亿）方向性反转。南向从净卖出转为大幅净买入，意味着内资加速南下抄底港股，A股情绪反向偏弱，为明确的负面信号。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：恒生指数-0.56%（看空）、恒生科技+0.04%（中性）、离岸人民币+0.08%升值（看多）。三指标背离，外部共识分歧，信号不可靠，需以内盘量价为准。结合南向大幅净买入，内外资方向偏空。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与昨日同期完全替换（物资外贸、造纸行业、交通运输接替飞机制造、陶瓷行业、船舶制造），且涨幅均极弱（跌幅在-0.16%至-0.18%之间），无真正上涨板块。板块快速轮动特征显著，属于存量资金在避险板块间的高频切换，不具备主线信号意义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从个股涨幅榜看，通信/PCB/算力产业链是暗流主线：崇达技术（+10.03%）、博敏电子（+10.01%）、超声电子（+10.95%）、铭普光磁（+10.02%）、金信诺（+6.96%）、崇达技术等集体涨停或大涨，但板块指数因权重股滞涨未被体现。昨日的飞机制造、船舶制造等军工方向今日大幅退潮，验证了板块轮动过快、无持续性的判断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杀跌端，跌幅榜集中在：</w:t>
      </w:r>
      <w:r>
        <w:rPr>
          <w:rFonts w:ascii="微软雅黑" w:hAnsi="微软雅黑" w:eastAsia="微软雅黑"/>
          <w:b/>
          <w:color w:val="D29922"/>
          <w:sz w:val="22"/>
        </w:rPr>
        <w:t>有色金属</w:t>
      </w:r>
      <w:r>
        <w:rPr>
          <w:rFonts w:ascii="微软雅黑" w:hAnsi="微软雅黑" w:eastAsia="微软雅黑"/>
          <w:color w:val="1A1A1A"/>
          <w:sz w:val="22"/>
        </w:rPr>
        <w:t>（-0.78%，北方铜业-10.01%）、</w:t>
      </w:r>
      <w:r>
        <w:rPr>
          <w:rFonts w:ascii="微软雅黑" w:hAnsi="微软雅黑" w:eastAsia="微软雅黑"/>
          <w:b/>
          <w:color w:val="D29922"/>
          <w:sz w:val="22"/>
        </w:rPr>
        <w:t>酿酒行业</w:t>
      </w:r>
      <w:r>
        <w:rPr>
          <w:rFonts w:ascii="微软雅黑" w:hAnsi="微软雅黑" w:eastAsia="微软雅黑"/>
          <w:color w:val="1A1A1A"/>
          <w:sz w:val="22"/>
        </w:rPr>
        <w:t>（-0.75%）、</w:t>
      </w:r>
      <w:r>
        <w:rPr>
          <w:rFonts w:ascii="微软雅黑" w:hAnsi="微软雅黑" w:eastAsia="微软雅黑"/>
          <w:b/>
          <w:color w:val="D29922"/>
          <w:sz w:val="22"/>
        </w:rPr>
        <w:t>陶瓷行业</w:t>
      </w:r>
      <w:r>
        <w:rPr>
          <w:rFonts w:ascii="微软雅黑" w:hAnsi="微软雅黑" w:eastAsia="微软雅黑"/>
          <w:color w:val="1A1A1A"/>
          <w:sz w:val="22"/>
        </w:rPr>
        <w:t>（-0.70%）、</w:t>
      </w:r>
      <w:r>
        <w:rPr>
          <w:rFonts w:ascii="微软雅黑" w:hAnsi="微软雅黑" w:eastAsia="微软雅黑"/>
          <w:b/>
          <w:color w:val="D29922"/>
          <w:sz w:val="22"/>
        </w:rPr>
        <w:t>家具行业</w:t>
      </w:r>
      <w:r>
        <w:rPr>
          <w:rFonts w:ascii="微软雅黑" w:hAnsi="微软雅黑" w:eastAsia="微软雅黑"/>
          <w:color w:val="1A1A1A"/>
          <w:sz w:val="22"/>
        </w:rPr>
        <w:t>（-0.44%）。周期与消费白马同步承压，是对前期再通胀交易和复苏预期的集中修正。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3886.8，较上一时段-0.11pp横盘、较昨日同期-0.78pp加速下跌。日线跌破短期均线支撑，MA5/MA10方向向下，MACD绿柱放大，RSI进入弱势区间（推断30-35），KDJ死叉后继续走低。中证500（-1.80%）较昨日同期加速幅度最大（-1.18pp），技术形态为放量中阴破位，中小盘抛压最重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：-0.50%，较上一时段+0.13pp改善，是该组数据中唯一边际转稳的指数，但RSI仍偏弱，MACD未金叉，仅为超跌后的技术性钝化。科创50收1550.8（-1.17%），较昨日同期-0.48pp加速，均线空头排列显著。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动能判断</w:t>
      </w:r>
      <w:r>
        <w:rPr>
          <w:rFonts w:ascii="微软雅黑" w:hAnsi="微软雅黑" w:eastAsia="微软雅黑"/>
          <w:color w:val="1A1A1A"/>
          <w:sz w:val="22"/>
        </w:rPr>
        <w:t>：上证/深成指/科创50/中证500均为</w:t>
      </w:r>
      <w:r>
        <w:rPr>
          <w:rFonts w:ascii="微软雅黑" w:hAnsi="微软雅黑" w:eastAsia="微软雅黑"/>
          <w:b/>
          <w:color w:val="D29922"/>
          <w:sz w:val="22"/>
        </w:rPr>
        <w:t>动能加速</w:t>
      </w:r>
      <w:r>
        <w:rPr>
          <w:rFonts w:ascii="微软雅黑" w:hAnsi="微软雅黑" w:eastAsia="微软雅黑"/>
          <w:color w:val="1A1A1A"/>
          <w:sz w:val="22"/>
        </w:rPr>
        <w:t>（较昨日同期加速下跌），创业板指为</w:t>
      </w:r>
      <w:r>
        <w:rPr>
          <w:rFonts w:ascii="微软雅黑" w:hAnsi="微软雅黑" w:eastAsia="微软雅黑"/>
          <w:b/>
          <w:color w:val="D29922"/>
          <w:sz w:val="22"/>
        </w:rPr>
        <w:t>动能衰竭后的反抽信号尚未确认</w:t>
      </w:r>
      <w:r>
        <w:rPr>
          <w:rFonts w:ascii="微软雅黑" w:hAnsi="微软雅黑" w:eastAsia="微软雅黑"/>
          <w:color w:val="1A1A1A"/>
          <w:sz w:val="22"/>
        </w:rPr>
        <w:t>。整体指数趋势偏空，仅创业板尝试企稳。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：放量下跌+上涨家数仅10.1%，为典型“放量普跌”，资金在系统性降低仓位而非结构性调仓。涨跌比10.1%属于冰点阈值，短期存在技术性修复反弹的概率，但反弹强度取决于量能是否快速收敛。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：新高新低比失真严重（涨停1家 vs 跌停5家，但实际跌幅-10%以上个股超20只），真实宽度比表面数据更差。中证500成交额3489亿，权重蓝筹沪深300成交额5163亿，资金从中小盘向蓝筹收缩的过程中断，两大板块同步放量下跌，无避险洼地。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资金流样本显示大单净流出-12.49亿，30只样本中15进15出，大资金分化但净方向偏空。龙虎榜上榜个股集中于超跌反弹、ST股和次新股，且多只个股连续跌幅偏离值达20%（海鸥住工-22.74%），表明游资出逃后无接力资金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异常警示</w:t>
      </w:r>
      <w:r>
        <w:rPr>
          <w:rFonts w:ascii="微软雅黑" w:hAnsi="微软雅黑" w:eastAsia="微软雅黑"/>
          <w:color w:val="1A1A1A"/>
          <w:sz w:val="22"/>
        </w:rPr>
        <w:t>：⚠️ 板块快速轮动+南向大幅净买入（+32.6亿，较昨日反转）+放量普跌，三者共振为强烈风险信号。南向与外部联动背离，分歧加大，以内盘量价为准——当前量价偏空。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物价与景气度</w:t>
      </w:r>
      <w:r>
        <w:rPr>
          <w:rFonts w:ascii="微软雅黑" w:hAnsi="微软雅黑" w:eastAsia="微软雅黑"/>
          <w:color w:val="1A1A1A"/>
          <w:sz w:val="22"/>
        </w:rPr>
        <w:t>：7月CPI同比+0.5%（前值1.0%）、核心CPI+0.9%、PPI同比+3.5%（前值4.1%），物价回落显示内需修复偏弱。制造业PMI 49.2跌破荣枯线，服务业PMI 49.3同步回落，7月受高温暴雨影响较大，但趋势性转弱迹象已现。M2同比+8.0%、M1同比+4.0%，流动性宽松但对实体传导偏慢。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政策面</w:t>
      </w:r>
      <w:r>
        <w:rPr>
          <w:rFonts w:ascii="微软雅黑" w:hAnsi="微软雅黑" w:eastAsia="微软雅黑"/>
          <w:color w:val="1A1A1A"/>
          <w:sz w:val="22"/>
        </w:rPr>
        <w:t>：LPR连续14个月不变（1Y 3.0%、5Y 3.5%），7天逆回购1.4%，货币政策暂无进一步宽松动作。社会融资6月增量同比少增8606亿，社融存量+7.4%，信贷需求偏弱，宏观面缺乏推动指数突破的核心催化。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市场环境</w:t>
      </w:r>
      <w:r>
        <w:rPr>
          <w:rFonts w:ascii="微软雅黑" w:hAnsi="微软雅黑" w:eastAsia="微软雅黑"/>
          <w:color w:val="1A1A1A"/>
          <w:sz w:val="22"/>
        </w:rPr>
        <w:t>：宏观数据整体偏弱+流动性边际未进一步宽松，导致公募/险资等中长期资金风险偏好持续收缩，从沪深300放量下跌可以印证。当前市场对增量政策的定价权重上升，在无新增刺激下，指数难以脱离存量博弈格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南向资金持续大幅净买入</w:t>
      </w:r>
      <w:r>
        <w:rPr>
          <w:rFonts w:ascii="微软雅黑" w:hAnsi="微软雅黑" w:eastAsia="微软雅黑"/>
          <w:color w:val="1A1A1A"/>
          <w:sz w:val="22"/>
        </w:rPr>
        <w:t>：内资南下加速，A股场内流动性被抽走，若南向维持+30亿以上规模，A股反弹空间受限。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</w:t>
      </w:r>
      <w:r>
        <w:rPr>
          <w:rFonts w:ascii="微软雅黑" w:hAnsi="微软雅黑" w:eastAsia="微软雅黑"/>
          <w:color w:val="1A1A1A"/>
          <w:sz w:val="22"/>
        </w:rPr>
        <w:t>：领涨板块完全替换，主线缺失，追高风险极大，情绪冰点后的反抽可能缺乏持续性。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极端市场宽度</w:t>
      </w:r>
      <w:r>
        <w:rPr>
          <w:rFonts w:ascii="微软雅黑" w:hAnsi="微软雅黑" w:eastAsia="微软雅黑"/>
          <w:color w:val="1A1A1A"/>
          <w:sz w:val="22"/>
        </w:rPr>
        <w:t>：上涨家数仅101家（10.1%），涨停仅1家，历史经验显示冰点后虽有技术性反弹，但若次日无法修复至30%以上，弱势延续概率高。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中证500加速下杀</w:t>
      </w:r>
      <w:r>
        <w:rPr>
          <w:rFonts w:ascii="微软雅黑" w:hAnsi="微软雅黑" w:eastAsia="微软雅黑"/>
          <w:color w:val="1A1A1A"/>
          <w:sz w:val="22"/>
        </w:rPr>
        <w:t>：较昨日同期-1.18pp，中小盘暴露未充分释放，需警惕量化高频资金被动减仓的尾部风险。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创业板反抽信号未确认</w:t>
      </w:r>
      <w:r>
        <w:rPr>
          <w:rFonts w:ascii="微软雅黑" w:hAnsi="微软雅黑" w:eastAsia="微软雅黑"/>
          <w:color w:val="1A1A1A"/>
          <w:sz w:val="22"/>
        </w:rPr>
        <w:t>：唯一边际改善的指数仍受制于MA5/MA10压力，若明日不能放量站稳3320上方，短线弱势继续。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