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3816.14</w:t>
            </w:r>
          </w:p>
        </w:tc>
        <w:tc>
          <w:tcPr>
            <w:tcW w:type="dxa" w:w="2160"/>
          </w:tcPr>
          <w:p>
            <w:r>
              <w:t>-0.42%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13508.40</w:t>
            </w:r>
          </w:p>
        </w:tc>
        <w:tc>
          <w:tcPr>
            <w:tcW w:type="dxa" w:w="2160"/>
          </w:tcPr>
          <w:p>
            <w:r>
              <w:t>-0.52%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3310.75</w:t>
            </w:r>
          </w:p>
        </w:tc>
        <w:tc>
          <w:tcPr>
            <w:tcW w:type="dxa" w:w="2160"/>
          </w:tcPr>
          <w:p>
            <w:r>
              <w:t>-0.99%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1579.29</w:t>
            </w:r>
          </w:p>
        </w:tc>
        <w:tc>
          <w:tcPr>
            <w:tcW w:type="dxa" w:w="2160"/>
          </w:tcPr>
          <w:p>
            <w:r>
              <w:t>-3.46%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4559.75</w:t>
            </w:r>
          </w:p>
        </w:tc>
        <w:tc>
          <w:tcPr>
            <w:tcW w:type="dxa" w:w="2160"/>
          </w:tcPr>
          <w:p>
            <w:r>
              <w:t>-0.62%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7444.96</w:t>
            </w:r>
          </w:p>
        </w:tc>
        <w:tc>
          <w:tcPr>
            <w:tcW w:type="dxa" w:w="2160"/>
          </w:tcPr>
          <w:p>
            <w:r>
              <w:t>-0.65%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A股盘前简报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当前市场核心矛盾在于宏观数据疲弱（PMI破枯荣线）与全球风险偏好修复（纳指上涨）之间的角力。预计今日开盘情绪小幅回暖，但反弹成色取决于量能是否有效放大，冲高回落风险不可忽视。A50夜盘表现将成为开盘最直接的锚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隔夜传导：</w:t>
      </w:r>
      <w:r>
        <w:rPr>
          <w:rFonts w:ascii="微软雅黑" w:hAnsi="微软雅黑" w:eastAsia="微软雅黑"/>
          <w:color w:val="1A1A1A"/>
          <w:sz w:val="22"/>
        </w:rPr>
        <w:t>纳斯达克指数收涨 1.0%。本轮隔夜上涨为A股科技成长板块开盘风险偏好修复提供了正面催化，尤其利于人工智能、半导体等方向情绪性反弹。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A50期货指向：</w:t>
      </w:r>
      <w:r>
        <w:rPr>
          <w:rFonts w:ascii="微软雅黑" w:hAnsi="微软雅黑" w:eastAsia="微软雅黑"/>
          <w:color w:val="1A1A1A"/>
          <w:sz w:val="22"/>
        </w:rPr>
        <w:t>富时A50期货是盘前关键观察哨。若它能消化纳指涨幅并小幅翻红，是对今日开盘反弹成色的确认。若A50走势平淡甚至收跌，则意味着内资主导的宏观忧虑完全盖过了外盘利好，日内需极度谨慎。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涨跌比与成交额：</w:t>
      </w:r>
      <w:r>
        <w:rPr>
          <w:rFonts w:ascii="微软雅黑" w:hAnsi="微软雅黑" w:eastAsia="微软雅黑"/>
          <w:color w:val="1A1A1A"/>
          <w:sz w:val="22"/>
        </w:rPr>
        <w:t>需要关注今日上午10:30前的实时涨跌家数比和预测成交额。若涨跌比能快速修复至2:1以上，且量能预测值超过8500亿元，才是有效反弹信号。无量上涨则视为技术性修复。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驱动因素分析：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科技成长（AI、半导体、消费电子）：</w:t>
      </w:r>
      <w:r>
        <w:rPr>
          <w:rFonts w:ascii="微软雅黑" w:hAnsi="微软雅黑" w:eastAsia="微软雅黑"/>
          <w:color w:val="1A1A1A"/>
          <w:sz w:val="22"/>
        </w:rPr>
        <w:t>直接受益于纳指上涨的映射效应，可能成为开盘资金主攻方向。但需警惕，这是纯粹的情绪驱动，持续性存疑。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防御性红利资产（电力、银行、公用事业）：</w:t>
      </w:r>
      <w:r>
        <w:rPr>
          <w:rFonts w:ascii="微软雅黑" w:hAnsi="微软雅黑" w:eastAsia="微软雅黑"/>
          <w:color w:val="1A1A1A"/>
          <w:sz w:val="22"/>
        </w:rPr>
        <w:t>由于7月PMI数据疲软，市场避险情绪根基未变。一旦科技股高开低走，资金会迅速切回这类低估值高股息板块进行防御。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高技术制造业（逆势扩张）：</w:t>
      </w:r>
      <w:r>
        <w:rPr>
          <w:rFonts w:ascii="微软雅黑" w:hAnsi="微软雅黑" w:eastAsia="微软雅黑"/>
          <w:color w:val="1A1A1A"/>
          <w:sz w:val="22"/>
        </w:rPr>
        <w:t>7月PMI数据中，高技术制造业PMI录得53.3%，是为数不多的亮点。该方向（尤其高端装备、航空部件）具备政策支持与基本面双重优势，可能走出独立行情。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昨日主要指数若收于短期关键均线（如5日、10日线）下方，则今日开盘即面临该均线的直接压制。纳指带来的情绪脉冲，恰好提供了测试压力位有效性的契机。核心观察信号：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能否借势攻击并站稳3200点整数关口及上方粘合的短期均线。若攻击失败，则将确认破位有效，下方空间打开。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宽基指数：</w:t>
      </w:r>
      <w:r>
        <w:rPr>
          <w:rFonts w:ascii="微软雅黑" w:hAnsi="微软雅黑" w:eastAsia="微软雅黑"/>
          <w:color w:val="1A1A1A"/>
          <w:sz w:val="22"/>
        </w:rPr>
        <w:t>关注沪深300与中证1000的强弱对比。若今日反弹由中证1000领涨，表明市场风偏确实回升；若沪深300强势，则意味着仅仅是护盘资金或避险行为的延续，并非主动做多。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资金流向预判：</w:t>
      </w:r>
      <w:r>
        <w:rPr>
          <w:rFonts w:ascii="微软雅黑" w:hAnsi="微软雅黑" w:eastAsia="微软雅黑"/>
          <w:color w:val="1A1A1A"/>
          <w:sz w:val="22"/>
        </w:rPr>
        <w:t>开盘大概率出现北向资金的短暂回补，主要涌入科技股。重点监控主力资金流向与指数走势的背离。若指数冲高，但整体主力资金仍为净流出，则是典型的拉高出货信号。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昨日市场上涨家数若处于极端低位（如不足1000家），今日本身存在均值修复的反弹需求。此次反弹如果仅仅是普涨而无主线，则一日游概率极大。真正的转强信号，需要一个新的、能带动大盘量能的领涨主线出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今日最关键的量化因子是成交量。第一个60分钟的成交额必须较昨日同期放大至少15%以上，才能初步判断有增量资金入场，否则反弹基础薄弱。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6. 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PMI与市场情绪：</w:t>
      </w:r>
      <w:r>
        <w:rPr>
          <w:rFonts w:ascii="微软雅黑" w:hAnsi="微软雅黑" w:eastAsia="微软雅黑"/>
          <w:color w:val="1A1A1A"/>
          <w:sz w:val="22"/>
        </w:rPr>
        <w:t>7月制造业PMI录得49.2，服务业PMI为49.3，双双跌破荣枯线，且制造业创5个月新低。这是压制当前市场的主要宏观压力。市场对经济复苏持续性的担忧加剧，这将持续压制周期、消费等顺周期板块的估值。今日的反弹是逆宏观基本面的情绪博弈，空间和持续性都被压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流动性与政策面：</w:t>
      </w:r>
      <w:r>
        <w:rPr>
          <w:rFonts w:ascii="微软雅黑" w:hAnsi="微软雅黑" w:eastAsia="微软雅黑"/>
          <w:color w:val="1A1A1A"/>
          <w:sz w:val="22"/>
        </w:rPr>
        <w:t>LPR已连续14个月不变，货币政策处于观察期。M2增速8.0%，社融数据同比少增，显示实体经济有效需求仍不足。商业银行净息差处于历史最低水平1.4%，限制了降息空间。在无强力政策信号出台前，流动性环境维持“稳而不松”的态势，不支持全面牛市，市场保持结构性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7.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高开低走风险：</w:t>
      </w:r>
      <w:r>
        <w:rPr>
          <w:rFonts w:ascii="微软雅黑" w:hAnsi="微软雅黑" w:eastAsia="微软雅黑"/>
          <w:color w:val="1A1A1A"/>
          <w:sz w:val="22"/>
        </w:rPr>
        <w:t>在宏观数据压力下，因外盘情绪推高的开盘价，极易引发昨日尾盘抄底的短线资金兑现离场，形成高开低走。这是今日最大风险。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量能不足风险：</w:t>
      </w:r>
      <w:r>
        <w:rPr>
          <w:rFonts w:ascii="微软雅黑" w:hAnsi="微软雅黑" w:eastAsia="微软雅黑"/>
          <w:color w:val="1A1A1A"/>
          <w:sz w:val="22"/>
        </w:rPr>
        <w:t>若全日成交额持续萎缩，任何反弹都是“减亏”窗口，而非追涨信号。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数据利空消化：</w:t>
      </w:r>
      <w:r>
        <w:rPr>
          <w:rFonts w:ascii="微软雅黑" w:hAnsi="微软雅黑" w:eastAsia="微软雅黑"/>
          <w:color w:val="1A1A1A"/>
          <w:sz w:val="22"/>
        </w:rPr>
        <w:t>市场可能尚未完全消化PMI数据带来的悲观预期，不排除在开盘短暂脉冲后，情绪再度转向悲观。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---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b/>
          <w:color w:val="D29922"/>
          <w:sz w:val="22"/>
        </w:rPr>
        <w:t>免责声明：</w:t>
      </w:r>
      <w:r>
        <w:rPr>
          <w:rFonts w:ascii="微软雅黑" w:hAnsi="微软雅黑" w:eastAsia="微软雅黑"/>
          <w:color w:val="1A1A1A"/>
          <w:sz w:val="22"/>
        </w:rPr>
        <w:t>本报告由AI自动生成，仅供参考，不构成任何投资建议。投资有风险，入市需谨慎。报告中的数据来源于公开接口，不对其准确性做任何保证。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