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2026-08-21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3906.26</w:t>
            </w:r>
          </w:p>
        </w:tc>
        <w:tc>
          <w:tcPr>
            <w:tcW w:type="dxa" w:w="2160"/>
          </w:tcPr>
          <w:p>
            <w:r>
              <w:t>+0.07%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14094.40</w:t>
            </w:r>
          </w:p>
        </w:tc>
        <w:tc>
          <w:tcPr>
            <w:tcW w:type="dxa" w:w="2160"/>
          </w:tcPr>
          <w:p>
            <w:r>
              <w:t>+0.87%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3544.80</w:t>
            </w:r>
          </w:p>
        </w:tc>
        <w:tc>
          <w:tcPr>
            <w:tcW w:type="dxa" w:w="2160"/>
          </w:tcPr>
          <w:p>
            <w:r>
              <w:t>+1.41%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1652.83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4619.55</w:t>
            </w:r>
          </w:p>
        </w:tc>
        <w:tc>
          <w:tcPr>
            <w:tcW w:type="dxa" w:w="2160"/>
          </w:tcPr>
          <w:p>
            <w:r>
              <w:t>+0.58%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7854.62</w:t>
            </w:r>
          </w:p>
        </w:tc>
        <w:tc>
          <w:tcPr>
            <w:tcW w:type="dxa" w:w="2160"/>
          </w:tcPr>
          <w:p>
            <w:r>
              <w:t>+0.05%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57.0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14.74 亿  |  大单净 10.95 亿  |  涨家 21 / 跌家 9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今日A股呈现</w:t>
      </w:r>
      <w:r>
        <w:rPr>
          <w:rFonts w:ascii="微软雅黑" w:hAnsi="微软雅黑" w:eastAsia="微软雅黑"/>
          <w:color w:val="1A1A1A"/>
          <w:sz w:val="22"/>
        </w:rPr>
        <w:t>深强沪弱、资源为王</w:t>
      </w:r>
      <w:r>
        <w:rPr>
          <w:rFonts w:ascii="微软雅黑" w:hAnsi="微软雅黑" w:eastAsia="微软雅黑"/>
          <w:color w:val="1A1A1A"/>
          <w:sz w:val="22"/>
        </w:rPr>
        <w:t>的格局。上证指数收于3906.26点微涨0.07%，在3900点上方暂时获得支点，但动能明显不足；创业板指大涨1.41%，成为今日最强指数，资金明显从权重流入成长+资源方向。科创50微跌-0.01%，几乎原地踏步，反映科技硬硬件并不在当前风口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两市总成交18583亿元，量能温和，但</w:t>
      </w:r>
      <w:r>
        <w:rPr>
          <w:rFonts w:ascii="微软雅黑" w:hAnsi="微软雅黑" w:eastAsia="微软雅黑"/>
          <w:color w:val="1A1A1A"/>
          <w:sz w:val="22"/>
        </w:rPr>
        <w:t>涨停仅5家、跌停7家</w:t>
      </w:r>
      <w:r>
        <w:rPr>
          <w:rFonts w:ascii="微软雅黑" w:hAnsi="微软雅黑" w:eastAsia="微软雅黑"/>
          <w:color w:val="1A1A1A"/>
          <w:sz w:val="22"/>
        </w:rPr>
        <w:t>，市场赚钱效应高度集中，呈现“指数不跌、个股难做”的典型存量结构性行情。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：上涨509家/下跌475家（上涨比例50.9%），中性偏平衡，多空胶着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涨停/跌停</w:t>
      </w:r>
      <w:r>
        <w:rPr>
          <w:rFonts w:ascii="微软雅黑" w:hAnsi="微软雅黑" w:eastAsia="微软雅黑"/>
          <w:color w:val="1A1A1A"/>
          <w:sz w:val="22"/>
        </w:rPr>
        <w:t>：涨停5家 vs 跌停7家，涨停数量极度萎缩，赚钱效应收敛至极致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总成交额</w:t>
      </w:r>
      <w:r>
        <w:rPr>
          <w:rFonts w:ascii="微软雅黑" w:hAnsi="微软雅黑" w:eastAsia="微软雅黑"/>
          <w:color w:val="1A1A1A"/>
          <w:sz w:val="22"/>
        </w:rPr>
        <w:t>：18583亿元，量能健康，但资金高度聚焦单一主线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平均换手率</w:t>
      </w:r>
      <w:r>
        <w:rPr>
          <w:rFonts w:ascii="微软雅黑" w:hAnsi="微软雅黑" w:eastAsia="微软雅黑"/>
          <w:color w:val="1A1A1A"/>
          <w:sz w:val="22"/>
        </w:rPr>
        <w:t>：3.68%，中位数成交8889万元，市场活跃度处于中等水平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外资监测（南向+外部联动）</w:t>
      </w:r>
      <w:r>
        <w:rPr>
          <w:rFonts w:ascii="微软雅黑" w:hAnsi="微软雅黑" w:eastAsia="微软雅黑"/>
          <w:color w:val="1A1A1A"/>
          <w:sz w:val="22"/>
        </w:rPr>
        <w:t>：南向资金今日大幅净流出57.03亿元（沪港通-47.69亿，深港通-9.34亿），此为</w:t>
      </w:r>
      <w:r>
        <w:rPr>
          <w:rFonts w:ascii="微软雅黑" w:hAnsi="微软雅黑" w:eastAsia="微软雅黑"/>
          <w:color w:val="1A1A1A"/>
          <w:sz w:val="22"/>
        </w:rPr>
        <w:t>A股情绪偏强信号</w:t>
      </w:r>
      <w:r>
        <w:rPr>
          <w:rFonts w:ascii="微软雅黑" w:hAnsi="微软雅黑" w:eastAsia="微软雅黑"/>
          <w:color w:val="1A1A1A"/>
          <w:sz w:val="22"/>
        </w:rPr>
        <w:t>，内资回流A股。外部联动面：恒指+0.97%、恒生科技+1.18%、离岸人民币升值0.07%，</w:t>
      </w:r>
      <w:r>
        <w:rPr>
          <w:rFonts w:ascii="微软雅黑" w:hAnsi="微软雅黑" w:eastAsia="微软雅黑"/>
          <w:color w:val="1A1A1A"/>
          <w:sz w:val="22"/>
        </w:rPr>
        <w:t>外部一致看多（3/3，置信度强）</w:t>
      </w:r>
      <w:r>
        <w:rPr>
          <w:rFonts w:ascii="微软雅黑" w:hAnsi="微软雅黑" w:eastAsia="微软雅黑"/>
          <w:color w:val="1A1A1A"/>
          <w:sz w:val="22"/>
        </w:rPr>
        <w:t>。南向净流出+外部看多=内外资共振偏多A股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领涨主线：贵金属/有色金属全面爆发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白银板块+8.68%</w:t>
      </w:r>
      <w:r>
        <w:rPr>
          <w:rFonts w:ascii="微软雅黑" w:hAnsi="微软雅黑" w:eastAsia="微软雅黑"/>
          <w:color w:val="1A1A1A"/>
          <w:sz w:val="22"/>
        </w:rPr>
        <w:t>（湖南白银涨停），</w:t>
      </w:r>
      <w:r>
        <w:rPr>
          <w:rFonts w:ascii="微软雅黑" w:hAnsi="微软雅黑" w:eastAsia="微软雅黑"/>
          <w:color w:val="1A1A1A"/>
          <w:sz w:val="22"/>
        </w:rPr>
        <w:t>贵金属+5.97%</w:t>
      </w:r>
      <w:r>
        <w:rPr>
          <w:rFonts w:ascii="微软雅黑" w:hAnsi="微软雅黑" w:eastAsia="微软雅黑"/>
          <w:color w:val="1A1A1A"/>
          <w:sz w:val="22"/>
        </w:rPr>
        <w:t>，</w:t>
      </w:r>
      <w:r>
        <w:rPr>
          <w:rFonts w:ascii="微软雅黑" w:hAnsi="微软雅黑" w:eastAsia="微软雅黑"/>
          <w:color w:val="1A1A1A"/>
          <w:sz w:val="22"/>
        </w:rPr>
        <w:t>黄金+5.06%</w:t>
      </w:r>
      <w:r>
        <w:rPr>
          <w:rFonts w:ascii="微软雅黑" w:hAnsi="微软雅黑" w:eastAsia="微软雅黑"/>
          <w:color w:val="1A1A1A"/>
          <w:sz w:val="22"/>
        </w:rPr>
        <w:t>（晓程科技领涨），</w:t>
      </w:r>
      <w:r>
        <w:rPr>
          <w:rFonts w:ascii="微软雅黑" w:hAnsi="微软雅黑" w:eastAsia="微软雅黑"/>
          <w:color w:val="1A1A1A"/>
          <w:sz w:val="22"/>
        </w:rPr>
        <w:t>锂+5.92%</w:t>
      </w:r>
      <w:r>
        <w:rPr>
          <w:rFonts w:ascii="微软雅黑" w:hAnsi="微软雅黑" w:eastAsia="微软雅黑"/>
          <w:color w:val="1A1A1A"/>
          <w:sz w:val="22"/>
        </w:rPr>
        <w:t>（融捷股份逼近涨停），</w:t>
      </w:r>
      <w:r>
        <w:rPr>
          <w:rFonts w:ascii="微软雅黑" w:hAnsi="微软雅黑" w:eastAsia="微软雅黑"/>
          <w:color w:val="1A1A1A"/>
          <w:sz w:val="22"/>
        </w:rPr>
        <w:t>钨+4.89%</w:t>
      </w:r>
      <w:r>
        <w:rPr>
          <w:rFonts w:ascii="微软雅黑" w:hAnsi="微软雅黑" w:eastAsia="微软雅黑"/>
          <w:color w:val="1A1A1A"/>
          <w:sz w:val="22"/>
        </w:rPr>
        <w:t>，</w:t>
      </w:r>
      <w:r>
        <w:rPr>
          <w:rFonts w:ascii="微软雅黑" w:hAnsi="微软雅黑" w:eastAsia="微软雅黑"/>
          <w:color w:val="1A1A1A"/>
          <w:sz w:val="22"/>
        </w:rPr>
        <w:t>钼+4.51%</w:t>
      </w:r>
      <w:r>
        <w:rPr>
          <w:rFonts w:ascii="微软雅黑" w:hAnsi="微软雅黑" w:eastAsia="微软雅黑"/>
          <w:color w:val="1A1A1A"/>
          <w:sz w:val="22"/>
        </w:rPr>
        <w:t>，</w:t>
      </w:r>
      <w:r>
        <w:rPr>
          <w:rFonts w:ascii="微软雅黑" w:hAnsi="微软雅黑" w:eastAsia="微软雅黑"/>
          <w:color w:val="1A1A1A"/>
          <w:sz w:val="22"/>
        </w:rPr>
        <w:t>铅锌+3.74%</w:t>
      </w:r>
      <w:r>
        <w:rPr>
          <w:rFonts w:ascii="微软雅黑" w:hAnsi="微软雅黑" w:eastAsia="微软雅黑"/>
          <w:color w:val="1A1A1A"/>
          <w:sz w:val="22"/>
        </w:rPr>
        <w:t>，</w:t>
      </w:r>
      <w:r>
        <w:rPr>
          <w:rFonts w:ascii="微软雅黑" w:hAnsi="微软雅黑" w:eastAsia="微软雅黑"/>
          <w:color w:val="1A1A1A"/>
          <w:sz w:val="22"/>
        </w:rPr>
        <w:t>铜+3.28%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驱动逻辑：</w:t>
      </w:r>
      <w:r>
        <w:rPr>
          <w:rFonts w:ascii="微软雅黑" w:hAnsi="微软雅黑" w:eastAsia="微软雅黑"/>
          <w:color w:val="1A1A1A"/>
          <w:sz w:val="22"/>
        </w:rPr>
        <w:t>COMEX黄金站上4618美元/盎司（+1.04%），伦敦金4561美元/盎司（+0.93%）</w:t>
      </w:r>
      <w:r>
        <w:rPr>
          <w:rFonts w:ascii="微软雅黑" w:hAnsi="微软雅黑" w:eastAsia="微软雅黑"/>
          <w:color w:val="1A1A1A"/>
          <w:sz w:val="22"/>
        </w:rPr>
        <w:t>，全球贵金属价格创新高。美元走弱+人民币升值+避险需求共振，A股有色金属板块全面跟涨。锂矿板块受益于新能源产业链的景气外溢，融捷股份、华友钴业等均有强势表现。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杀跌方向：医药+种业高位分歧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医药</w:t>
      </w:r>
      <w:r>
        <w:rPr>
          <w:rFonts w:ascii="微软雅黑" w:hAnsi="微软雅黑" w:eastAsia="微软雅黑"/>
          <w:color w:val="1A1A1A"/>
          <w:sz w:val="22"/>
        </w:rPr>
        <w:t>：安科生物-11.63%、博腾股份-10.62%、华兰疫苗-11.80%、贝瑞基因跌停，前期强势医药股获利回吐明显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种业</w:t>
      </w:r>
      <w:r>
        <w:rPr>
          <w:rFonts w:ascii="微软雅黑" w:hAnsi="微软雅黑" w:eastAsia="微软雅黑"/>
          <w:color w:val="1A1A1A"/>
          <w:sz w:val="22"/>
        </w:rPr>
        <w:t>：秋乐种业-15.03%、神农种业-11.99%，种业板块在前期炒作后遭遇集中抛售，龙虎榜显示神农种业三日累计+41.05%后今日大幅回调，高位分歧剧烈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：站稳3900点上方，但今日涨幅仅0.07%，K线实体极小，上攻动能偏弱。短期均线（5日/10日）仍呈多头排列，但3900-3950区间存在前期套牢盘压力，MACD红柱有钝化迹象，RSI位于中性偏强区间，但需警惕高位缩量滞涨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：收于14094点，+0.87%，创阶段新高，均线系统发散向上，量价配合优于上证，趋势健康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：最强指数，+1.41%收于3544.80点，距离前高仅一步之遥，KDJ维持高位金叉，但短期进入超买区域，若明日不能放量突破3550点，需防冲高回落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：-0.01%收于1652.83点，连续两日原地踏步，半导体等硬科技方向缺乏增量资金，MACD即将进入零轴附近纠缠，方向不明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资金流向（新浪30股样本）</w:t>
      </w:r>
      <w:r>
        <w:rPr>
          <w:rFonts w:ascii="微软雅黑" w:hAnsi="微软雅黑" w:eastAsia="微软雅黑"/>
          <w:color w:val="1A1A1A"/>
          <w:sz w:val="22"/>
        </w:rPr>
        <w:t>：总主力净流入14.74亿元，大单净流入10.95亿元，流入家数21/流出9，大资金方向偏多，但流入规模有限，资金在有色板块集中做多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：两市总成交18583亿，但上证仅涨0.07%，深市/创业板涨幅明显强于沪市，说明资金在“弃大买小”，偏向攻击深市资源+成长方向。上证的量能结构中，放量滞涨特征初现，需警惕权重板块的资金分流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：涨停5家/跌停7家，涨停数量创近期低位。板块涨幅中位数不高，市场宽度与指数涨幅不匹配，典型的“指数涨、个股不涨”的低质量上涨。上涨比例50.9%，恰好过半，多空处于临界平衡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龙虎榜信号</w:t>
      </w:r>
      <w:r>
        <w:rPr>
          <w:rFonts w:ascii="微软雅黑" w:hAnsi="微软雅黑" w:eastAsia="微软雅黑"/>
          <w:color w:val="1A1A1A"/>
          <w:sz w:val="22"/>
        </w:rPr>
        <w:t>：医药股霸榜龙虎榜，且多现“高开低走”或“冲高回落”形态。安科生物龙虎榜涨停+20%但今日实际-11.63%，主力借龙虎榜出货迹象明显。有色板块的湖南白银、盛达资源等涨停但未上榜，说明资金以游资+机构合力为主，持续性待观察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CPI</w:t>
      </w:r>
      <w:r>
        <w:rPr>
          <w:rFonts w:ascii="微软雅黑" w:hAnsi="微软雅黑" w:eastAsia="微软雅黑"/>
          <w:color w:val="1A1A1A"/>
          <w:sz w:val="22"/>
        </w:rPr>
        <w:t>：7月同比0.5%（前值1.0%），涨幅明显回落，汽油降价10.7%是主因，猪肉由降转涨4.1%。CPI走低为货币政策打开空间，但也反映消费需求偏弱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PPI</w:t>
      </w:r>
      <w:r>
        <w:rPr>
          <w:rFonts w:ascii="微软雅黑" w:hAnsi="微软雅黑" w:eastAsia="微软雅黑"/>
          <w:color w:val="1A1A1A"/>
          <w:sz w:val="22"/>
        </w:rPr>
        <w:t>：7月同比3.5%（前值4.1%），涨幅回落，国际油价下跌+高温暴雨影响施工。输入性因素约贡献-0.65个百分点。有色矿采选业仍涨22.6%，印证今日有色板块强逻辑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PMI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