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3960.43</w:t>
            </w:r>
          </w:p>
        </w:tc>
        <w:tc>
          <w:tcPr>
            <w:tcW w:type="dxa" w:w="2160"/>
          </w:tcPr>
          <w:p>
            <w:r>
              <w:t>+0.85%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14535.06</w:t>
            </w:r>
          </w:p>
        </w:tc>
        <w:tc>
          <w:tcPr>
            <w:tcW w:type="dxa" w:w="2160"/>
          </w:tcPr>
          <w:p>
            <w:r>
              <w:t>+1.26%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3675.14</w:t>
            </w:r>
          </w:p>
        </w:tc>
        <w:tc>
          <w:tcPr>
            <w:tcW w:type="dxa" w:w="2160"/>
          </w:tcPr>
          <w:p>
            <w:r>
              <w:t>+1.35%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1769.94</w:t>
            </w:r>
          </w:p>
        </w:tc>
        <w:tc>
          <w:tcPr>
            <w:tcW w:type="dxa" w:w="2160"/>
          </w:tcPr>
          <w:p>
            <w:r>
              <w:t>+3.04%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4701.41</w:t>
            </w:r>
          </w:p>
        </w:tc>
        <w:tc>
          <w:tcPr>
            <w:tcW w:type="dxa" w:w="2160"/>
          </w:tcPr>
          <w:p>
            <w:r>
              <w:t>+0.76%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8119.30</w:t>
            </w:r>
          </w:p>
        </w:tc>
        <w:tc>
          <w:tcPr>
            <w:tcW w:type="dxa" w:w="2160"/>
          </w:tcPr>
          <w:p>
            <w:r>
              <w:t>+1.61%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15.9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-50.12 亿  |  大单净 -52.47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A股午盘总结报告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数据截至：2026年8月17日 11:30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上午盘面整体呈普涨格局，科创50以+3.04%强势领跑，创业板指+1.35%紧随其后，上证指数+0.85%站稳3960点关口。市场情绪偏强，上涨家数761家、涨停13家，跌停仅1家，赚钱效应集中在科技成长方向。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：761:222，上涨比例76.1%，涨停13家、跌停1家，市场宽度健康，多空力量对比明显偏向多方。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：半日总成交14968亿元，中位数个股成交6318万元，量能处于活跃水平。若午后维持节奏，全天有望突破2.5万亿，属于充分换手状态。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南向资金半日净流入15.94亿元（沪市净流出1.88亿，深市净流入17.82亿），规模未达30亿阈值，属轻度流入，对A股不构成显著反向压力。外部联动方面，恒生科技+1.84%、恒生指数+1.49%、离岸人民币微幅升值，三者同向偏多，外资风险偏好温和改善。综合判断：内外资信号方向一致偏多，但南向流入规模有限，信号强度为中等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从涨停和大涨个股结构看，</w:t>
      </w:r>
      <w:r>
        <w:rPr>
          <w:rFonts w:ascii="微软雅黑" w:hAnsi="微软雅黑" w:eastAsia="微软雅黑"/>
          <w:b/>
          <w:color w:val="D29922"/>
          <w:sz w:val="22"/>
        </w:rPr>
        <w:t>半导体/芯片板块是核心主线</w:t>
      </w:r>
      <w:r>
        <w:rPr>
          <w:rFonts w:ascii="微软雅黑" w:hAnsi="微软雅黑" w:eastAsia="微软雅黑"/>
          <w:color w:val="1A1A1A"/>
          <w:sz w:val="22"/>
        </w:rPr>
        <w:t>：中微半导+14.92%、芯朋微+10.96%、中科飞测+12.64%、盛合晶微+11.35%、普冉股份+12.89%、华兴源创+11.07%，科创板688标的批量涨幅超10%。</w:t>
      </w:r>
      <w:r>
        <w:rPr>
          <w:rFonts w:ascii="微软雅黑" w:hAnsi="微软雅黑" w:eastAsia="微软雅黑"/>
          <w:b/>
          <w:color w:val="D29922"/>
          <w:sz w:val="22"/>
        </w:rPr>
        <w:t>光通信/CPO方向</w:t>
      </w:r>
      <w:r>
        <w:rPr>
          <w:rFonts w:ascii="微软雅黑" w:hAnsi="微软雅黑" w:eastAsia="微软雅黑"/>
          <w:color w:val="1A1A1A"/>
          <w:sz w:val="22"/>
        </w:rPr>
        <w:t>同样活跃，太辰光20%涨停、仕佳光子+11.79%、长芯博创+11.57%。材料端聚和材料20%涨停、德邦科技+14.93%。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领跌方向较为分散：医药板块分化（英诺特-8.89%、朗新科技-11.52%），传媒板块北京文化-9.97%、电广传媒-7.12%承压，地产链香江控股-6.17%。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驱动逻辑判断</w:t>
      </w:r>
      <w:r>
        <w:rPr>
          <w:rFonts w:ascii="微软雅黑" w:hAnsi="微软雅黑" w:eastAsia="微软雅黑"/>
          <w:color w:val="1A1A1A"/>
          <w:sz w:val="22"/>
        </w:rPr>
        <w:t>：芯片板块的集体爆发与外部AI/半导体景气预期形成共振，叠加科创板近期相对低估值的修复需求，行情持续性需观察午后资金是否继续向半导体中游材料、设备端扩散。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注：MA/MACD/RSI/KDJ等实时技术指标未包含在本次数据接口返回中，以下基于价格行为进行推断。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：以3930点高开，盘中持续上攻至3960点上方，涨幅0.85%。指数接近4000点整数关口，短期上升趋势完好，若午后放量突破3975-3980区域，则有望挑战4000点压力位。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：+3.04%的涨幅显著偏离其他宽基指数，呈现明显的相对强度突破。从1721点开盘直冲1769点，量能配合良好。科创50的强势表明资金正在向高弹性科技资产集中。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：+1.35%，从3632点升至3675点，涨幅温和但结构偏强。但需注意，创业板中前期高位标的存在分化，朗新科技跌超11%提示高位股风险。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：前一个交易日（8月14日）大单净流出52.47亿元，30只样本股中仅8只净流入，大资金方向偏谨慎。但今日半日成交额放大至1.5万亿级别，属于典型的高低切换放量特征，需观察午后大单资金是否回补。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：科创50以仅65.5万手成交量推动+3.04%涨幅，量能相对温和，表明筹码锁定度较高，抛压不大。深证成指成交7864亿元，深市量能显著高于沪市的7104亿元，资金偏好偏向深市成长板块。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：上涨比例76.1%，涨幅中位数2.77%，涨停13家。市场宽度较好但涨停数量并不极端，属于温和普涨而非亢奋型拉升，持续性相对更优。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商品信号</w:t>
      </w:r>
      <w:r>
        <w:rPr>
          <w:rFonts w:ascii="微软雅黑" w:hAnsi="微软雅黑" w:eastAsia="微软雅黑"/>
          <w:color w:val="1A1A1A"/>
          <w:sz w:val="22"/>
        </w:rPr>
        <w:t>：LME铜+1.45%大涨至14366美元/吨，伦敦金+0.39%至4393美元，商品端风险偏好同步升温，为有色金属和周期股提供支撑（北方铜业+10.01%）。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最新宏观数据整体偏弱但市场已部分消化：7月CPI同比0.5%（前值1.0%），PPI同比3.5%（前值4.1%），两者均明显回落；制造业PMI 49.2、服务业PMI 49.3，双双跌破荣枯线。价格端走弱反映需求侧动能不足，但PPI仍为正增长，上游工业品通胀尚未完全消退。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流动性环境方面，LPR已连续14个月不变（1年期3.0%、5年期3.5%），7天逆回购利率1.4%处于低位，整体流动性保持宽松，为股市估值扩张提供支撑。M2同比8.0%，社融存量增速7.4%，货币供给温和增长。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政策面解读</w:t>
      </w:r>
      <w:r>
        <w:rPr>
          <w:rFonts w:ascii="微软雅黑" w:hAnsi="微软雅黑" w:eastAsia="微软雅黑"/>
          <w:color w:val="1A1A1A"/>
          <w:sz w:val="22"/>
        </w:rPr>
        <w:t>：CPI回落+PMI低于荣枯线，客观上为进一步宽松打开空间。近期市场对降息预期有所升温，若后续政策端有边际放松动作，将对市场形成额外催化。当前低利率环境下，成长板块对流动性变化的弹性更大，这与今日科创50领涨的结构相契合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高位股分化风险</w:t>
      </w:r>
      <w:r>
        <w:rPr>
          <w:rFonts w:ascii="微软雅黑" w:hAnsi="微软雅黑" w:eastAsia="微软雅黑"/>
          <w:color w:val="1A1A1A"/>
          <w:sz w:val="22"/>
        </w:rPr>
        <w:t>：朗新科技-11.52%、威胜信息-9.94%、快意电梯-9.40%，前期强势股出现大幅回调，芯片板块内部同样存在估值差异，需警惕午后情绪退潮时的补跌风险。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量能持续性</w:t>
      </w:r>
      <w:r>
        <w:rPr>
          <w:rFonts w:ascii="微软雅黑" w:hAnsi="微软雅黑" w:eastAsia="微软雅黑"/>
          <w:color w:val="1A1A1A"/>
          <w:sz w:val="22"/>
        </w:rPr>
        <w:t>：半日1.5万亿的高成交若能维持，则行情有支撑；若午后量能骤降，需警惕冲高回落。历史上科创50单日涨幅超3%后，次日高开低走的概率并不低。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外资信号不确定性</w:t>
      </w:r>
      <w:r>
        <w:rPr>
          <w:rFonts w:ascii="微软雅黑" w:hAnsi="微软雅黑" w:eastAsia="微软雅黑"/>
          <w:color w:val="1A1A1A"/>
          <w:sz w:val="22"/>
        </w:rPr>
        <w:t>：尽管外部联动偏多，但北向净买入数据已不再公开，南向资金流入规模仅15.94亿，远未达到抄底港股的分流阈值，信号参考价值有限。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宏观数据弱于预期</w:t>
      </w:r>
      <w:r>
        <w:rPr>
          <w:rFonts w:ascii="微软雅黑" w:hAnsi="微软雅黑" w:eastAsia="微软雅黑"/>
          <w:color w:val="1A1A1A"/>
          <w:sz w:val="22"/>
        </w:rPr>
        <w:t>：PMI连续位于荣枯线下方，若7月后续公布的M2/社融数据同样疲软，可能引发对经济基本面的重新评估，对高位估值板块形成压力。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