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2026-07-30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3804.69</w:t>
            </w:r>
          </w:p>
        </w:tc>
        <w:tc>
          <w:tcPr>
            <w:tcW w:type="dxa" w:w="2160"/>
          </w:tcPr>
          <w:p>
            <w:r>
              <w:t>-0.62%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13285.80</w:t>
            </w:r>
          </w:p>
        </w:tc>
        <w:tc>
          <w:tcPr>
            <w:tcW w:type="dxa" w:w="2160"/>
          </w:tcPr>
          <w:p>
            <w:r>
              <w:t>-2.73%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3244.62</w:t>
            </w:r>
          </w:p>
        </w:tc>
        <w:tc>
          <w:tcPr>
            <w:tcW w:type="dxa" w:w="2160"/>
          </w:tcPr>
          <w:p>
            <w:r>
              <w:t>-3.97%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1588.41</w:t>
            </w:r>
          </w:p>
        </w:tc>
        <w:tc>
          <w:tcPr>
            <w:tcW w:type="dxa" w:w="2160"/>
          </w:tcPr>
          <w:p>
            <w:r>
              <w:t>-5.38%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4549.72</w:t>
            </w:r>
          </w:p>
        </w:tc>
        <w:tc>
          <w:tcPr>
            <w:tcW w:type="dxa" w:w="2160"/>
          </w:tcPr>
          <w:p>
            <w:r>
              <w:t>-1.10%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7309.58</w:t>
            </w:r>
          </w:p>
        </w:tc>
        <w:tc>
          <w:tcPr>
            <w:tcW w:type="dxa" w:w="2160"/>
          </w:tcPr>
          <w:p>
            <w:r>
              <w:t>-2.86%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30 股聚合净流入 52.26 亿  |  大单净 49.65 亿  |  涨家 21 / 跌家 9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📊 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A股市场遭遇普跌，创业板与科创板成为重灾区。主要指数悉数低开低走，科创50指数放量暴跌逾5%，市场赚钱效应极差，仅193家个股上涨，超80家个股跌停。防御性板块（酿酒、金融）及部分周期股获得资金避险流入，但难以抵消科技成长股集体杀跌带来的冲击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📈 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涨跌比：</w:t>
      </w:r>
      <w:r>
        <w:rPr>
          <w:rFonts w:ascii="微软雅黑" w:hAnsi="微软雅黑" w:eastAsia="微软雅黑"/>
          <w:color w:val="1A1A1A"/>
          <w:sz w:val="22"/>
        </w:rPr>
        <w:t>193:797，仅19.3%个股上涨。市场宽度极端恶化，呈现普跌格局。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成交额：</w:t>
      </w:r>
      <w:r>
        <w:rPr>
          <w:rFonts w:ascii="微软雅黑" w:hAnsi="微软雅黑" w:eastAsia="微软雅黑"/>
          <w:color w:val="1A1A1A"/>
          <w:sz w:val="22"/>
        </w:rPr>
        <w:t>总量数据缺失，但从成交量与平均换手率（4.62%）看，为放量下跌，恐慌盘与获利盘涌出迹象明显。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北向资金：</w:t>
      </w:r>
      <w:r>
        <w:rPr>
          <w:rFonts w:ascii="微软雅黑" w:hAnsi="微软雅黑" w:eastAsia="微软雅黑"/>
          <w:color w:val="1A1A1A"/>
          <w:sz w:val="22"/>
        </w:rPr>
        <w:t>净流出30.68亿，其中深市净流出21.4亿，显示外资对高估值成长板块的减持压力更大。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资金流（样本）：</w:t>
      </w:r>
      <w:r>
        <w:rPr>
          <w:rFonts w:ascii="微软雅黑" w:hAnsi="微软雅黑" w:eastAsia="微软雅黑"/>
          <w:color w:val="1A1A1A"/>
          <w:sz w:val="22"/>
        </w:rPr>
        <w:t>大单净流入49.65亿，与整体普跌出现背离，部分资金在下跌中逆势吸纳少数权重或防御标的。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🔥 板块热点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领涨主线：</w:t>
      </w:r>
      <w:r>
        <w:rPr>
          <w:rFonts w:ascii="微软雅黑" w:hAnsi="微软雅黑" w:eastAsia="微软雅黑"/>
          <w:color w:val="1A1A1A"/>
          <w:sz w:val="22"/>
        </w:rPr>
        <w:t>安全资产与通胀受益逻辑占优。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酿酒行业 (+2.21%)、金融行业 (+0.15%)：</w:t>
      </w:r>
      <w:r>
        <w:rPr>
          <w:rFonts w:ascii="微软雅黑" w:hAnsi="微软雅黑" w:eastAsia="微软雅黑"/>
          <w:color w:val="1A1A1A"/>
          <w:sz w:val="22"/>
        </w:rPr>
        <w:t>典型的防御性抱团，资金在不确定性中寻找业绩确定性高和低估值的避风港。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石油行业 (+0.19%)、农药化肥 (+0.14%)：</w:t>
      </w:r>
      <w:r>
        <w:rPr>
          <w:rFonts w:ascii="微软雅黑" w:hAnsi="微软雅黑" w:eastAsia="微软雅黑"/>
          <w:color w:val="1A1A1A"/>
          <w:sz w:val="22"/>
        </w:rPr>
        <w:t>受益于国际油价高位震荡及农业品价格上涨的周期性板块，获得部分从成长股流出的资金。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重灾区：</w:t>
      </w:r>
      <w:r>
        <w:rPr>
          <w:rFonts w:ascii="微软雅黑" w:hAnsi="微软雅黑" w:eastAsia="微软雅黑"/>
          <w:color w:val="1A1A1A"/>
          <w:sz w:val="22"/>
        </w:rPr>
        <w:t>全面溃败的泛科技与北证板块。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次新股 (-5.19%)：</w:t>
      </w:r>
      <w:r>
        <w:rPr>
          <w:rFonts w:ascii="微软雅黑" w:hAnsi="微软雅黑" w:eastAsia="微软雅黑"/>
          <w:color w:val="1A1A1A"/>
          <w:sz w:val="22"/>
        </w:rPr>
        <w:t>流动性挤压下的重灾区，市场风险偏好急剧下降，高换手博弈的次新股被率先抛售。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电子器件 (-1.23%)、电子信息 (-0.54%)：</w:t>
      </w:r>
      <w:r>
        <w:rPr>
          <w:rFonts w:ascii="微软雅黑" w:hAnsi="微软雅黑" w:eastAsia="微软雅黑"/>
          <w:color w:val="1A1A1A"/>
          <w:sz w:val="22"/>
        </w:rPr>
        <w:t>以科创50为代表的半导体、电子板块是今日杀跌主力。高估值、交易拥挤，叠加隔夜美股科技股大跌的传导效应，引发踩踏。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🛠️ 技术信号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主要指数技术形态全面恶化，空头信号共振。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科创50：</w:t>
      </w:r>
      <w:r>
        <w:rPr>
          <w:rFonts w:ascii="微软雅黑" w:hAnsi="微软雅黑" w:eastAsia="微软雅黑"/>
          <w:color w:val="1A1A1A"/>
          <w:sz w:val="22"/>
        </w:rPr>
        <w:t>巨量长阴线，有效跌破60日均线关键中期支撑，MACD死叉后绿柱急剧放大，RSI快速下探至弱势区间，短期头部结构确立，下行空间打开。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创业板指：</w:t>
      </w:r>
      <w:r>
        <w:rPr>
          <w:rFonts w:ascii="微软雅黑" w:hAnsi="微软雅黑" w:eastAsia="微软雅黑"/>
          <w:color w:val="1A1A1A"/>
          <w:sz w:val="22"/>
        </w:rPr>
        <w:t>跳空低开，跌幅远超主板，K线实体阴线巨大，一阴穿多线，指标空头动能强劲，需考验前期低点平台支撑。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上证指数：</w:t>
      </w:r>
      <w:r>
        <w:rPr>
          <w:rFonts w:ascii="微软雅黑" w:hAnsi="微软雅黑" w:eastAsia="微软雅黑"/>
          <w:color w:val="1A1A1A"/>
          <w:sz w:val="22"/>
        </w:rPr>
        <w:t>相对抗跌，目前仍守在3800点整数关口与60日线附近，但其余指数弱势下，该支撑位的可靠性存疑，更多是依赖金融等权重股的护盘。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🔍 量化视角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资金分流与马太效应：</w:t>
      </w:r>
      <w:r>
        <w:rPr>
          <w:rFonts w:ascii="微软雅黑" w:hAnsi="微软雅黑" w:eastAsia="微软雅黑"/>
          <w:color w:val="1A1A1A"/>
          <w:sz w:val="22"/>
        </w:rPr>
        <w:t>样本大单资金逆势净流入，而同期北向资金与整体市场净流出，表明内资主力在白酒、金融等板块采取了显著的集中式防守策略，加剧了其他板块的失血。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市场宽度崩溃：</w:t>
      </w:r>
      <w:r>
        <w:rPr>
          <w:rFonts w:ascii="微软雅黑" w:hAnsi="微软雅黑" w:eastAsia="微软雅黑"/>
          <w:color w:val="1A1A1A"/>
          <w:sz w:val="22"/>
        </w:rPr>
        <w:t>19.3%的上涨比率是极端信号。弱势行情下，此信号通常预示着后续即使指数反抽，大量边缘个股也难以跟随修复，应聚焦于强势板块的结构性机会。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逼空退潮：</w:t>
      </w:r>
      <w:r>
        <w:rPr>
          <w:rFonts w:ascii="微软雅黑" w:hAnsi="微软雅黑" w:eastAsia="微软雅黑"/>
          <w:color w:val="1A1A1A"/>
          <w:sz w:val="22"/>
        </w:rPr>
        <w:t>次新股与半导体板块中大量跌停个股前期累积了巨大涨幅，今日的放量长阴是典型的投机资金撤离信号，短期应坚决回避。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🌍 宏观背景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PMI（50.3）：</w:t>
      </w:r>
      <w:r>
        <w:rPr>
          <w:rFonts w:ascii="微软雅黑" w:hAnsi="微软雅黑" w:eastAsia="微软雅黑"/>
          <w:color w:val="1A1A1A"/>
          <w:sz w:val="22"/>
        </w:rPr>
        <w:t>经济持续处于扩张区间，但力度偏弱，不支持全面牛市，结构分化是常态。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货币政策（LPR 5Y: 3.5%）：</w:t>
      </w:r>
      <w:r>
        <w:rPr>
          <w:rFonts w:ascii="微软雅黑" w:hAnsi="微软雅黑" w:eastAsia="微软雅黑"/>
          <w:color w:val="1A1A1A"/>
          <w:sz w:val="22"/>
        </w:rPr>
        <w:t>利率已处低位，净息差制约进一步宽松空间。流动性并非当前市场主要矛盾，估值与交易结构才是核心变量。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通胀剪刀差（PPI 4.1% vs CPI 1.0%）：</w:t>
      </w:r>
      <w:r>
        <w:rPr>
          <w:rFonts w:ascii="微软雅黑" w:hAnsi="微软雅黑" w:eastAsia="微软雅黑"/>
          <w:color w:val="1A1A1A"/>
          <w:sz w:val="22"/>
        </w:rPr>
        <w:t>上游原材料价格高位，中下游企业利润承压，这对缺乏议价能力的科技制造业构成潜在压制，也解释了部分资金向上游周期股切换的逻辑。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⚠️ 风险提示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成长股负反馈风险：</w:t>
      </w:r>
      <w:r>
        <w:rPr>
          <w:rFonts w:ascii="微软雅黑" w:hAnsi="微软雅黑" w:eastAsia="微软雅黑"/>
          <w:color w:val="1A1A1A"/>
          <w:sz w:val="22"/>
        </w:rPr>
        <w:t>科创50、创业板破位后，可能触发更多的趋势交易资金和止损盘离场，形成“下跌-抛售”的负向循环。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强势股补跌可能：</w:t>
      </w:r>
      <w:r>
        <w:rPr>
          <w:rFonts w:ascii="微软雅黑" w:hAnsi="微软雅黑" w:eastAsia="微软雅黑"/>
          <w:color w:val="1A1A1A"/>
          <w:sz w:val="22"/>
        </w:rPr>
        <w:t>若市场悲观情绪蔓延，当前抱团的酿酒、金融等避险板块可能面临获利盘和解套盘的双重压力，出现补跌。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外部传导不确定性：</w:t>
      </w:r>
      <w:r>
        <w:rPr>
          <w:rFonts w:ascii="微软雅黑" w:hAnsi="微软雅黑" w:eastAsia="微软雅黑"/>
          <w:color w:val="1A1A1A"/>
          <w:sz w:val="22"/>
        </w:rPr>
        <w:t>隔夜美股科技股重挫，需警惕今晚美股是否继续下跌，对明日A股相关板块形成二次冲击。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免责声明：</w:t>
      </w:r>
      <w:r>
        <w:rPr>
          <w:rFonts w:ascii="微软雅黑" w:hAnsi="微软雅黑" w:eastAsia="微软雅黑"/>
          <w:color w:val="1A1A1A"/>
          <w:sz w:val="22"/>
        </w:rPr>
        <w:t>本报告由 AI 自动生成，仅供参考，不构成任何投资建议。投资有风险，入市需谨慎。报告中的数据来源于公开接口，不对其准确性做任何保证。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