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2026-08-19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3897.02</w:t>
            </w:r>
          </w:p>
        </w:tc>
        <w:tc>
          <w:tcPr>
            <w:tcW w:type="dxa" w:w="2160"/>
          </w:tcPr>
          <w:p>
            <w:r>
              <w:t>-2.34%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13958.21</w:t>
            </w:r>
          </w:p>
        </w:tc>
        <w:tc>
          <w:tcPr>
            <w:tcW w:type="dxa" w:w="2160"/>
          </w:tcPr>
          <w:p>
            <w:r>
              <w:t>-4.54%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3496.18</w:t>
            </w:r>
          </w:p>
        </w:tc>
        <w:tc>
          <w:tcPr>
            <w:tcW w:type="dxa" w:w="2160"/>
          </w:tcPr>
          <w:p>
            <w:r>
              <w:t>-5.65%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1673.66</w:t>
            </w:r>
          </w:p>
        </w:tc>
        <w:tc>
          <w:tcPr>
            <w:tcW w:type="dxa" w:w="2160"/>
          </w:tcPr>
          <w:p>
            <w:r>
              <w:t>-6.54%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4592.26</w:t>
            </w:r>
          </w:p>
        </w:tc>
        <w:tc>
          <w:tcPr>
            <w:tcW w:type="dxa" w:w="2160"/>
          </w:tcPr>
          <w:p>
            <w:r>
              <w:t>-2.83%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7821.70</w:t>
            </w:r>
          </w:p>
        </w:tc>
        <w:tc>
          <w:tcPr>
            <w:tcW w:type="dxa" w:w="2160"/>
          </w:tcPr>
          <w:p>
            <w:r>
              <w:t>-4.35%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南向资金：净卖出 30.5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-1.54 亿  |  大单净 -0.88 亿  |  涨家 17 / 跌家 13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模块一：边际速览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</w:t>
      </w:r>
      <w:r>
        <w:rPr>
          <w:rFonts w:ascii="微软雅黑" w:hAnsi="微软雅黑" w:eastAsia="微软雅黑"/>
          <w:b/>
          <w:color w:val="D29922"/>
          <w:sz w:val="22"/>
        </w:rPr>
        <w:t>放量加速下杀，全指数同步恶化，市场宽度收缩至极端冰点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指数方向：动能加速</w:t>
      </w:r>
      <w:r>
        <w:rPr>
          <w:rFonts w:ascii="微软雅黑" w:hAnsi="微软雅黑" w:eastAsia="微软雅黑"/>
          <w:color w:val="1A1A1A"/>
          <w:sz w:val="22"/>
        </w:rPr>
        <w:t>。上证指数-2.34%（较上一时段-0.39pp），深成指-4.54%（-0.57pp），创业板-5.65%（-0.67pp），科创50-6.54%（-0.48pp），六大指数较上午11:31全面加速下跌。较昨日同期看，上证跌幅扩大2.18pp，科创50 更是扩大6.0pp，属于显著动能加速中的</w:t>
      </w:r>
      <w:r>
        <w:rPr>
          <w:rFonts w:ascii="微软雅黑" w:hAnsi="微软雅黑" w:eastAsia="微软雅黑"/>
          <w:b/>
          <w:color w:val="D29922"/>
          <w:sz w:val="22"/>
        </w:rPr>
        <w:t>踩踏特征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量能：放量杀跌</w:t>
      </w:r>
      <w:r>
        <w:rPr>
          <w:rFonts w:ascii="微软雅黑" w:hAnsi="微软雅黑" w:eastAsia="微软雅黑"/>
          <w:color w:val="1A1A1A"/>
          <w:sz w:val="22"/>
        </w:rPr>
        <w:t>。两市成交额20134亿，较上一时段+24.4%，放量幅度大，说明抛售积极，并非缩量阴跌，参与度上升但方向明确向下。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涨跌比：市场宽度极度收缩</w:t>
      </w:r>
      <w:r>
        <w:rPr>
          <w:rFonts w:ascii="微软雅黑" w:hAnsi="微软雅黑" w:eastAsia="微软雅黑"/>
          <w:color w:val="1A1A1A"/>
          <w:sz w:val="22"/>
        </w:rPr>
        <w:t>。上涨仅41家，下跌957家，涨跌比4.1%（昨日同期约19%），涨停仅4家而跌停67家。宽度从昨日的偏弱直接坍塌至冰点，止损盘与恐慌盘共振出逃。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模块二：量价结构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</w:t>
      </w:r>
      <w:r>
        <w:rPr>
          <w:rFonts w:ascii="微软雅黑" w:hAnsi="微软雅黑" w:eastAsia="微软雅黑"/>
          <w:b/>
          <w:color w:val="D29922"/>
          <w:sz w:val="22"/>
        </w:rPr>
        <w:t>权重并非避风港，全面性抛售中防御性消费逆势抗跌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沪深300成交占比约27.4%</w:t>
      </w:r>
      <w:r>
        <w:rPr>
          <w:rFonts w:ascii="微软雅黑" w:hAnsi="微软雅黑" w:eastAsia="微软雅黑"/>
          <w:color w:val="1A1A1A"/>
          <w:sz w:val="22"/>
        </w:rPr>
        <w:t>（5517亿/20134亿），远低于70%虹吸阈值，说明资金并未集中到权重股抱团，反而是</w:t>
      </w:r>
      <w:r>
        <w:rPr>
          <w:rFonts w:ascii="微软雅黑" w:hAnsi="微软雅黑" w:eastAsia="微软雅黑"/>
          <w:b/>
          <w:color w:val="D29922"/>
          <w:sz w:val="22"/>
        </w:rPr>
        <w:t>全面性出逃，个股流动性折价加剧</w:t>
      </w:r>
      <w:r>
        <w:rPr>
          <w:rFonts w:ascii="微软雅黑" w:hAnsi="微软雅黑" w:eastAsia="微软雅黑"/>
          <w:color w:val="1A1A1A"/>
          <w:sz w:val="22"/>
        </w:rPr>
        <w:t>。中小盘跌幅远超权重（中证500 -4.35% vs 沪深300 -2.83%），量价结构呈现典型普跌格局。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板块轮动暴露防御心态</w:t>
      </w:r>
      <w:r>
        <w:rPr>
          <w:rFonts w:ascii="微软雅黑" w:hAnsi="微软雅黑" w:eastAsia="微软雅黑"/>
          <w:color w:val="1A1A1A"/>
          <w:sz w:val="22"/>
        </w:rPr>
        <w:t>：上一时段领涨的金融地产风格、价值股、大盘价值全部退潮，替代为农林牧渔（-0.23%）、服装鞋类（-0.23%）、食品行业（-0.23%）。这些板块虽为领涨，但跌幅仅略小于大盘，本质是跌幅最小而非主动进攻，</w:t>
      </w:r>
      <w:r>
        <w:rPr>
          <w:rFonts w:ascii="微软雅黑" w:hAnsi="微软雅黑" w:eastAsia="微软雅黑"/>
          <w:b/>
          <w:color w:val="D29922"/>
          <w:sz w:val="22"/>
        </w:rPr>
        <w:t>资金已切换至纯防御的必选消费方向</w:t>
      </w:r>
      <w:r>
        <w:rPr>
          <w:rFonts w:ascii="微软雅黑" w:hAnsi="微软雅黑" w:eastAsia="微软雅黑"/>
          <w:color w:val="1A1A1A"/>
          <w:sz w:val="22"/>
        </w:rPr>
        <w:t>，进攻属性消失殆尽。次新股-6.75%领跌，电子器件-1.95%跟随杀跌，科技成长遭遇最重抛压。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模块四：内外联动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</w:t>
      </w:r>
      <w:r>
        <w:rPr>
          <w:rFonts w:ascii="微软雅黑" w:hAnsi="微软雅黑" w:eastAsia="微软雅黑"/>
          <w:b/>
          <w:color w:val="D29922"/>
          <w:sz w:val="22"/>
        </w:rPr>
        <w:t>外部信号分歧且力度微弱，内盘抛压才是主驱动力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Python预判验证：基本合理，但离岸人民币信号不应计入有效看多</w:t>
      </w:r>
      <w:r>
        <w:rPr>
          <w:rFonts w:ascii="微软雅黑" w:hAnsi="微软雅黑" w:eastAsia="微软雅黑"/>
          <w:color w:val="1A1A1A"/>
          <w:sz w:val="22"/>
        </w:rPr>
        <w:t>。恒生科技-1.31%（幅度达标，看空有效）、恒生指数+0.02%（中性无效）、离岸人民币-0.06%（升值幅度过小，属微弱信号，应忽略）。修正后有效信号仅恒生科技一票看空，整体外部氛围偏弱，但不足以驱动A股如此级别的下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南向资金出现关键背离</w:t>
      </w:r>
      <w:r>
        <w:rPr>
          <w:rFonts w:ascii="微软雅黑" w:hAnsi="微软雅黑" w:eastAsia="微软雅黑"/>
          <w:color w:val="1A1A1A"/>
          <w:sz w:val="22"/>
        </w:rPr>
        <w:t>：南向净卖出-30.5亿（较上一时段-22.9亿进一步扩大），按反向指标框架，理论上内资在卖出港股、有利于A股情绪。但A股此刻暴跌，说明南向净卖出并非主动回流加仓A股，而是</w:t>
      </w:r>
      <w:r>
        <w:rPr>
          <w:rFonts w:ascii="微软雅黑" w:hAnsi="微软雅黑" w:eastAsia="微软雅黑"/>
          <w:b/>
          <w:color w:val="D29922"/>
          <w:sz w:val="22"/>
        </w:rPr>
        <w:t>整体风险资产减仓行为</w:t>
      </w:r>
      <w:r>
        <w:rPr>
          <w:rFonts w:ascii="微软雅黑" w:hAnsi="微软雅黑" w:eastAsia="微软雅黑"/>
          <w:color w:val="1A1A1A"/>
          <w:sz w:val="22"/>
        </w:rPr>
        <w:t>，港股与A股同步承压。南向与外部联动均指向谨慎，内盘量价恶化为决定性因素。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离岸人民币6.7418升值0.06%</w:t>
      </w:r>
      <w:r>
        <w:rPr>
          <w:rFonts w:ascii="微软雅黑" w:hAnsi="微软雅黑" w:eastAsia="微软雅黑"/>
          <w:color w:val="1A1A1A"/>
          <w:sz w:val="22"/>
        </w:rPr>
        <w:t>，在岸人民币6.7395升值0.09%，汇率端无明显外资撤离信号。但汇率升值与股市暴跌并存，说明抛压主要来自内资去杠杆与情绪面，而非外资主导的资本外流。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模块五：持续性评估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</w:t>
      </w:r>
      <w:r>
        <w:rPr>
          <w:rFonts w:ascii="微软雅黑" w:hAnsi="微软雅黑" w:eastAsia="微软雅黑"/>
          <w:b/>
          <w:color w:val="D29922"/>
          <w:sz w:val="22"/>
        </w:rPr>
        <w:t>极端宽度持续超预期，冰点反弹条件边际累积但尚未触发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涨跌比已连续2小时偏空（</w:t>
      </w:r>
      <w:r>
        <w:rPr>
          <w:rFonts w:ascii="微软雅黑" w:hAnsi="微软雅黑" w:eastAsia="微软雅黑"/>
          <w:b/>
          <w:color w:val="D29922"/>
          <w:sz w:val="22"/>
        </w:rPr>
        <w:t>&lt;</w:t>
      </w:r>
      <w:r>
        <w:rPr>
          <w:rFonts w:ascii="微软雅黑" w:hAnsi="微软雅黑" w:eastAsia="微软雅黑"/>
          <w:b/>
          <w:color w:val="D29922"/>
          <w:sz w:val="22"/>
        </w:rPr>
        <w:t>40%）</w:t>
      </w:r>
      <w:r>
        <w:rPr>
          <w:rFonts w:ascii="微软雅黑" w:hAnsi="微软雅黑" w:eastAsia="微软雅黑"/>
          <w:color w:val="1A1A1A"/>
          <w:sz w:val="22"/>
        </w:rPr>
        <w:t>，且本时段恶化至4.1%的极端水平（上一时段约19%），持续超2小时极端偏空后出现冰点反弹的概率在上升。但反弹触发需要看到跌停板数量收敛+成交额萎缩（抛压衰竭），当前跌停67家较昨日明显扩大，量能还在放大，</w:t>
      </w:r>
      <w:r>
        <w:rPr>
          <w:rFonts w:ascii="微软雅黑" w:hAnsi="微软雅黑" w:eastAsia="微软雅黑"/>
          <w:b/>
          <w:color w:val="D29922"/>
          <w:sz w:val="22"/>
        </w:rPr>
        <w:t>暂未见衰竭信号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市场宽度弱势未改且加速</w:t>
      </w:r>
      <w:r>
        <w:rPr>
          <w:rFonts w:ascii="微软雅黑" w:hAnsi="微软雅黑" w:eastAsia="微软雅黑"/>
          <w:color w:val="1A1A1A"/>
          <w:sz w:val="22"/>
        </w:rPr>
        <w:t>：昨日19%→今日5%，宽度收缩趋势陡峭。打板情绪同步恶化，昨日涨停溢价率-5.0%（中位数），短线亏钱效应正在向更广泛的活跃筹码扩散。若尾盘无政策或护盘资金介入，</w:t>
      </w:r>
      <w:r>
        <w:rPr>
          <w:rFonts w:ascii="微软雅黑" w:hAnsi="微软雅黑" w:eastAsia="微软雅黑"/>
          <w:b/>
          <w:color w:val="D29922"/>
          <w:sz w:val="22"/>
        </w:rPr>
        <w:t>情绪宣泄可能延续至收盘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板块轮动已从进攻轮动切换为</w:t>
      </w:r>
      <w:r>
        <w:rPr>
          <w:rFonts w:ascii="微软雅黑" w:hAnsi="微软雅黑" w:eastAsia="微软雅黑"/>
          <w:b/>
          <w:color w:val="D29922"/>
          <w:sz w:val="22"/>
        </w:rPr>
        <w:t>防御型微调</w:t>
      </w:r>
      <w:r>
        <w:rPr>
          <w:rFonts w:ascii="微软雅黑" w:hAnsi="微软雅黑" w:eastAsia="微软雅黑"/>
          <w:color w:val="1A1A1A"/>
          <w:sz w:val="22"/>
        </w:rPr>
        <w:t>，轮动本身减速但方向趋同（防御），说明资金共识从“找进攻”转向“少亏钱”，这是弱势市场末期特征之一，但持续时间可能比预期更长。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模块六：红黄绿灯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</w:t>
      </w:r>
      <w:r>
        <w:rPr>
          <w:rFonts w:ascii="微软雅黑" w:hAnsi="微软雅黑" w:eastAsia="微软雅黑"/>
          <w:b/>
          <w:color w:val="D29922"/>
          <w:sz w:val="22"/>
        </w:rPr>
        <w:t>全指标偏空但过度极端，信号为观望而非追空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🔴</w:t>
      </w:r>
      <w:r>
        <w:rPr>
          <w:rFonts w:ascii="微软雅黑" w:hAnsi="微软雅黑" w:eastAsia="微软雅黑"/>
          <w:b/>
          <w:color w:val="D29922"/>
          <w:sz w:val="22"/>
        </w:rPr>
        <w:t>红灯：暂无触发</w:t>
      </w:r>
      <w:r>
        <w:rPr>
          <w:rFonts w:ascii="微软雅黑" w:hAnsi="微软雅黑" w:eastAsia="微软雅黑"/>
          <w:color w:val="1A1A1A"/>
          <w:sz w:val="22"/>
        </w:rPr>
        <w:t>。尚未观察到流动性枯竭（成交额仍在放大）或系统性金融风险信号。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🟡</w:t>
      </w:r>
      <w:r>
        <w:rPr>
          <w:rFonts w:ascii="微软雅黑" w:hAnsi="微软雅黑" w:eastAsia="微软雅黑"/>
          <w:b/>
          <w:color w:val="D29922"/>
          <w:sz w:val="22"/>
        </w:rPr>
        <w:t>黄灯（观望信号）</w:t>
      </w:r>
      <w:r>
        <w:rPr>
          <w:rFonts w:ascii="微软雅黑" w:hAnsi="微软雅黑" w:eastAsia="微软雅黑"/>
          <w:color w:val="1A1A1A"/>
          <w:sz w:val="22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外部方向分歧（score=-2.1），外部信号不可靠，以内盘量价为准——当前内盘量价明确偏空。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板块轮动加速且主线不清晰，防御板块无持续进攻力，追涨任何热点均面临极高被套风险。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涨跌比连续极端（4.1%），冰点反弹概率上升但条件未满足，</w:t>
      </w:r>
      <w:r>
        <w:rPr>
          <w:rFonts w:ascii="微软雅黑" w:hAnsi="微软雅黑" w:eastAsia="微软雅黑"/>
          <w:b/>
          <w:color w:val="D29922"/>
          <w:sz w:val="22"/>
        </w:rPr>
        <w:t>减仓观望优于抄底</w:t>
      </w:r>
      <w:r>
        <w:rPr>
          <w:rFonts w:ascii="微软雅黑" w:hAnsi="微软雅黑" w:eastAsia="微软雅黑"/>
          <w:color w:val="1A1A1A"/>
          <w:sz w:val="22"/>
        </w:rPr>
        <w:t>。尾盘若出现跌停板明显收敛+权重护盘放量，才能考虑小仓位博弈反弹。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🟢</w:t>
      </w:r>
      <w:r>
        <w:rPr>
          <w:rFonts w:ascii="微软雅黑" w:hAnsi="微软雅黑" w:eastAsia="微软雅黑"/>
          <w:b/>
          <w:color w:val="D29922"/>
          <w:sz w:val="22"/>
        </w:rPr>
        <w:t>绿灯：暂无触发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</w:t>
      </w: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