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2026-09-09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3950.00</w:t>
            </w:r>
          </w:p>
        </w:tc>
        <w:tc>
          <w:tcPr>
            <w:tcW w:type="dxa" w:w="2160"/>
          </w:tcPr>
          <w:p>
            <w:r>
              <w:t>+0.24%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13694.38</w:t>
            </w:r>
          </w:p>
        </w:tc>
        <w:tc>
          <w:tcPr>
            <w:tcW w:type="dxa" w:w="2160"/>
          </w:tcPr>
          <w:p>
            <w:r>
              <w:t>-0.06%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3348.31</w:t>
            </w:r>
          </w:p>
        </w:tc>
        <w:tc>
          <w:tcPr>
            <w:tcW w:type="dxa" w:w="2160"/>
          </w:tcPr>
          <w:p>
            <w:r>
              <w:t>-0.34%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1581.37</w:t>
            </w:r>
          </w:p>
        </w:tc>
        <w:tc>
          <w:tcPr>
            <w:tcW w:type="dxa" w:w="2160"/>
          </w:tcPr>
          <w:p>
            <w:r>
              <w:t>-0.61%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4564.43</w:t>
            </w:r>
          </w:p>
        </w:tc>
        <w:tc>
          <w:tcPr>
            <w:tcW w:type="dxa" w:w="2160"/>
          </w:tcPr>
          <w:p>
            <w:r>
              <w:t>+0.12%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7764.37</w:t>
            </w:r>
          </w:p>
        </w:tc>
        <w:tc>
          <w:tcPr>
            <w:tcW w:type="dxa" w:w="2160"/>
          </w:tcPr>
          <w:p>
            <w:r>
              <w:t>-0.08%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29.5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-18.23 亿  |  大单净 -19.42 亿  |  涨家 15 / 跌家 15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本时段核心变化是：成交额异常放大33.8%但指数分化加剧，创业板/科创加速下跌，个股普跌，市场呈现放量滞涨/下跌信号。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收盘，A股主要指数走势分化：上证指数+0.24%勉强收红，沪深300+0.12%权重护盘；但深证成指-0.06%、创业板指-0.34%、科创50-0.61%悉数收跌，且较上一时段（10:31）创业板指、科创50分别加速下跌0.61pp、0.49pp，较昨日同期创业板指-0.34%亦转弱。全市场涨跌家数288/696，上涨比例仅28.8%，涨停6家、跌停0家，赚亏钱效应极差。成交额12084亿，较上一时段放量33.8%，但指数无力上攻，量能集中在抛压方向，属于典型的“放量分化、权重托底、成长杀跌”格局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上涨288家 vs 下跌696家，比例0.41，市场宽度极弱，较昨日同期进一步恶化。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12084亿，较上一时段+33.8%（异常放量），显示午后资金博弈激烈，但量价配合不佳。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南向资金（港股通）：</w:t>
      </w:r>
      <w:r>
        <w:rPr>
          <w:rFonts w:ascii="微软雅黑" w:hAnsi="微软雅黑" w:eastAsia="微软雅黑"/>
          <w:color w:val="1A1A1A"/>
          <w:sz w:val="22"/>
        </w:rPr>
        <w:t>半日净买入+29.5亿，较上一时段增加8.2亿，较昨日同期（-3.3亿净卖出）由卖转买，且沪市、深市均净流入。南向净买入加速表明内资正在南下，对A股情绪构成反向压制。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大单资金流（前一日新浪数据）：</w:t>
      </w:r>
      <w:r>
        <w:rPr>
          <w:rFonts w:ascii="微软雅黑" w:hAnsi="微软雅黑" w:eastAsia="微软雅黑"/>
          <w:color w:val="1A1A1A"/>
          <w:sz w:val="22"/>
        </w:rPr>
        <w:t>总净额-18.23亿，大单净额-19.42亿，流入流出各15家，大资金整体呈净流出状态，当日盘面弱势与此印证。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领涨板块：</w:t>
      </w:r>
      <w:r>
        <w:rPr>
          <w:rFonts w:ascii="微软雅黑" w:hAnsi="微软雅黑" w:eastAsia="微软雅黑"/>
          <w:b/>
          <w:color w:val="D29922"/>
          <w:sz w:val="22"/>
        </w:rPr>
        <w:t>陶瓷行业+0.68%、飞机制造+0.34%、船舶制造+0.26%、玻璃行业+0.25%、煤炭行业+0.23%</w:t>
      </w:r>
      <w:r>
        <w:rPr>
          <w:rFonts w:ascii="微软雅黑" w:hAnsi="微软雅黑" w:eastAsia="微软雅黑"/>
          <w:color w:val="1A1A1A"/>
          <w:sz w:val="22"/>
        </w:rPr>
        <w:t>，军工（船舶+飞机制造）与低估值周期（陶瓷、玻璃、煤炭）获得资金关注；领跌板块：</w:t>
      </w:r>
      <w:r>
        <w:rPr>
          <w:rFonts w:ascii="微软雅黑" w:hAnsi="微软雅黑" w:eastAsia="微软雅黑"/>
          <w:b/>
          <w:color w:val="D29922"/>
          <w:sz w:val="22"/>
        </w:rPr>
        <w:t>次新股-1.74%、酿酒行业-0.78%、酒店旅游-0.23%、传媒娱乐-0.17%、医疗器械-0.15%</w:t>
      </w:r>
      <w:r>
        <w:rPr>
          <w:rFonts w:ascii="微软雅黑" w:hAnsi="微软雅黑" w:eastAsia="微软雅黑"/>
          <w:color w:val="1A1A1A"/>
          <w:sz w:val="22"/>
        </w:rPr>
        <w:t>，次新股大幅杀跌反映风险偏好快速收缩，酿酒权重走弱拖累消费情绪。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⚠️</w:t>
      </w:r>
      <w:r>
        <w:rPr>
          <w:rFonts w:ascii="微软雅黑" w:hAnsi="微软雅黑" w:eastAsia="微软雅黑"/>
          <w:b/>
          <w:color w:val="D29922"/>
          <w:sz w:val="22"/>
        </w:rPr>
        <w:t>板块快速轮动警示：</w:t>
      </w:r>
      <w:r>
        <w:rPr>
          <w:rFonts w:ascii="微软雅黑" w:hAnsi="微软雅黑" w:eastAsia="微软雅黑"/>
          <w:color w:val="1A1A1A"/>
          <w:sz w:val="22"/>
        </w:rPr>
        <w:t>较昨日同期，领涨板块完全替换（飞机制造、陶瓷、船舶制造接替粮食种植、教育运营、房产租赁经纪），热点持续性极差，资金无主线、一日游特征突出，市场进入高波动低胜率阶段。驱动因素：军工板块可能受地缘事件催化，煤炭等周期性品种有防御属性，但均缺乏基本面强支撑，更多是资金高低切换的短期行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收3950点，连续两日横盘（较昨日同期+0.24%，较上一时段+0.24%），短期均线仍多头排列，但4000点整数关口压制明显；MACD红柱缩短，RSI在55附近拐头向下，KDJ高位死叉风险，量能放大但滞涨，动能出现</w:t>
      </w:r>
      <w:r>
        <w:rPr>
          <w:rFonts w:ascii="微软雅黑" w:hAnsi="微软雅黑" w:eastAsia="微软雅黑"/>
          <w:b/>
          <w:color w:val="D29922"/>
          <w:sz w:val="22"/>
        </w:rPr>
        <w:t>衰竭</w:t>
      </w:r>
      <w:r>
        <w:rPr>
          <w:rFonts w:ascii="微软雅黑" w:hAnsi="微软雅黑" w:eastAsia="微软雅黑"/>
          <w:color w:val="1A1A1A"/>
          <w:sz w:val="22"/>
        </w:rPr>
        <w:t>迹象。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创业板指：</w:t>
      </w:r>
      <w:r>
        <w:rPr>
          <w:rFonts w:ascii="微软雅黑" w:hAnsi="微软雅黑" w:eastAsia="微软雅黑"/>
          <w:color w:val="1A1A1A"/>
          <w:sz w:val="22"/>
        </w:rPr>
        <w:t>收3348.31点，较上一时段下跌0.61pp，今日跳空低开后未能回补缺口，已跌破5日均线；MACD快线死叉，RSI跌至45下方，KDJ向下发散，短线</w:t>
      </w:r>
      <w:r>
        <w:rPr>
          <w:rFonts w:ascii="微软雅黑" w:hAnsi="微软雅黑" w:eastAsia="微软雅黑"/>
          <w:b/>
          <w:color w:val="D29922"/>
          <w:sz w:val="22"/>
        </w:rPr>
        <w:t>动能加速向下</w:t>
      </w:r>
      <w:r>
        <w:rPr>
          <w:rFonts w:ascii="微软雅黑" w:hAnsi="微软雅黑" w:eastAsia="微软雅黑"/>
          <w:color w:val="1A1A1A"/>
          <w:sz w:val="22"/>
        </w:rPr>
        <w:t>，若午后不能收复3400点，则调整级别可能扩大。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科创50：</w:t>
      </w:r>
      <w:r>
        <w:rPr>
          <w:rFonts w:ascii="微软雅黑" w:hAnsi="微软雅黑" w:eastAsia="微软雅黑"/>
          <w:color w:val="1A1A1A"/>
          <w:sz w:val="22"/>
        </w:rPr>
        <w:t>收1581.37点，跌幅最大，较上一时段下跌0.49pp，技术形态最弱，已跌至短期上升趋势线附近，量能放大配合下跌，</w:t>
      </w:r>
      <w:r>
        <w:rPr>
          <w:rFonts w:ascii="微软雅黑" w:hAnsi="微软雅黑" w:eastAsia="微软雅黑"/>
          <w:b/>
          <w:color w:val="D29922"/>
          <w:sz w:val="22"/>
        </w:rPr>
        <w:t>趋势反转</w:t>
      </w:r>
      <w:r>
        <w:rPr>
          <w:rFonts w:ascii="微软雅黑" w:hAnsi="微软雅黑" w:eastAsia="微软雅黑"/>
          <w:color w:val="1A1A1A"/>
          <w:sz w:val="22"/>
        </w:rPr>
        <w:t>风险上升。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沪深300/中证500：</w:t>
      </w:r>
      <w:r>
        <w:rPr>
          <w:rFonts w:ascii="微软雅黑" w:hAnsi="微软雅黑" w:eastAsia="微软雅黑"/>
          <w:color w:val="1A1A1A"/>
          <w:sz w:val="22"/>
        </w:rPr>
        <w:t>沪深300+0.12%横盘，中证500-0.08%转弱，权重指数与中小盘指数背离，市场内部结构调整剧烈。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成交额较上一时段急增33.8%，但指数涨幅几乎为零（沪指+0.24%、深成指-0.06%），呈典型“放量滞涨/放量下跌”形态，卖压显著增加，买盘承接不足。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市场宽度：</w:t>
      </w:r>
      <w:r>
        <w:rPr>
          <w:rFonts w:ascii="微软雅黑" w:hAnsi="微软雅黑" w:eastAsia="微软雅黑"/>
          <w:color w:val="1A1A1A"/>
          <w:sz w:val="22"/>
        </w:rPr>
        <w:t>上涨占比28.8%，处于极低水平，即便权重护盘也难掩普跌现实；而涨停家数仅6家、跌停0家，说明恐慌尚未极致，但赚钱效应冰点。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资金流：</w:t>
      </w:r>
      <w:r>
        <w:rPr>
          <w:rFonts w:ascii="微软雅黑" w:hAnsi="微软雅黑" w:eastAsia="微软雅黑"/>
          <w:color w:val="1A1A1A"/>
          <w:sz w:val="22"/>
        </w:rPr>
        <w:t>南向半日净买入29.5亿（边际+8.2亿）叠加恒生科技-0.56%，外盘联动偏空，内外资出现“共振谨慎”，A股短期流动性环境承压。大单资金流前一日净流出亦佐证主力资金观望或撤离。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背离信号：</w:t>
      </w:r>
      <w:r>
        <w:rPr>
          <w:rFonts w:ascii="微软雅黑" w:hAnsi="微软雅黑" w:eastAsia="微软雅黑"/>
          <w:color w:val="1A1A1A"/>
          <w:sz w:val="22"/>
        </w:rPr>
        <w:t>上证指数上涨但全市场下跌家数显著多于上涨，指数与市场宽度严重背离；成交额放大与指数滞涨构成量价背离。两种背离同时出现，转弱概率大增。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CPI同比+0.5%（前值1.0%）回落，PPI同比+3.5%（前值4.1%）涨幅收窄，制造业PMI 49.2、服务业PMI 49.3双双跌破荣枯线，经济弱复苏、需求不足仍是核心矛盾。M2同比+8.0%、社融存量同比+7.4%，流动性总量平稳但结构偏弱（社融增量同比少增8606亿）；LPR连续14个月不变，短期降息预期落空，政策面维持“稳健宽松但未强刺激”基调。当前A股处于“弱宏观+低通胀+中流动性”组合，市场缺乏系统性上行驱动，结构性行情依赖政策和事件催化，因此板块快速轮动、高低切换成为常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量价背离加剧：</w:t>
      </w:r>
      <w:r>
        <w:rPr>
          <w:rFonts w:ascii="微软雅黑" w:hAnsi="微软雅黑" w:eastAsia="微软雅黑"/>
          <w:color w:val="1A1A1A"/>
          <w:sz w:val="22"/>
        </w:rPr>
        <w:t>成交额大幅放大但指数不涨反跌，若午后继续放量下探，则可能引发技术性抛售。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板块轮动过快：</w:t>
      </w:r>
      <w:r>
        <w:rPr>
          <w:rFonts w:ascii="微软雅黑" w:hAnsi="微软雅黑" w:eastAsia="微软雅黑"/>
          <w:color w:val="1A1A1A"/>
          <w:sz w:val="22"/>
        </w:rPr>
        <w:t>领涨板块每日替换，追涨风险极高，市场赚钱难度上升，一旦热点断层，易形成踩踏。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南向资金持续净流入：</w:t>
      </w:r>
      <w:r>
        <w:rPr>
          <w:rFonts w:ascii="微软雅黑" w:hAnsi="微软雅黑" w:eastAsia="微软雅黑"/>
          <w:color w:val="1A1A1A"/>
          <w:sz w:val="22"/>
        </w:rPr>
        <w:t>内资南下意愿增强，A股存量博弈加剧；若南向半日净买入突破40亿，则情绪进一步恶化。</w:t>
      </w:r>
    </w:p>
    <w:p>
      <w:pPr>
        <w:pStyle w:val="ListBullet"/>
        <w:spacing w:after="40"/>
      </w:pP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