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2026-07-31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3845.36</w:t>
            </w:r>
          </w:p>
        </w:tc>
        <w:tc>
          <w:tcPr>
            <w:tcW w:type="dxa" w:w="2160"/>
          </w:tcPr>
          <w:p>
            <w:r>
              <w:t>+1.07%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13841.40</w:t>
            </w:r>
          </w:p>
        </w:tc>
        <w:tc>
          <w:tcPr>
            <w:tcW w:type="dxa" w:w="2160"/>
          </w:tcPr>
          <w:p>
            <w:r>
              <w:t>+4.18%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3461.92</w:t>
            </w:r>
          </w:p>
        </w:tc>
        <w:tc>
          <w:tcPr>
            <w:tcW w:type="dxa" w:w="2160"/>
          </w:tcPr>
          <w:p>
            <w:r>
              <w:t>+6.70%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1729.49</w:t>
            </w:r>
          </w:p>
        </w:tc>
        <w:tc>
          <w:tcPr>
            <w:tcW w:type="dxa" w:w="2160"/>
          </w:tcPr>
          <w:p>
            <w:r>
              <w:t>+8.88%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4633.39</w:t>
            </w:r>
          </w:p>
        </w:tc>
        <w:tc>
          <w:tcPr>
            <w:tcW w:type="dxa" w:w="2160"/>
          </w:tcPr>
          <w:p>
            <w:r>
              <w:t>+1.84%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7636.36</w:t>
            </w:r>
          </w:p>
        </w:tc>
        <w:tc>
          <w:tcPr>
            <w:tcW w:type="dxa" w:w="2160"/>
          </w:tcPr>
          <w:p>
            <w:r>
              <w:t>+4.47%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109.82 亿  |  大单净 110.09 亿  |  涨家 25 / 跌家 5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市场呈现极致的结构性撕裂行情。科创50以8.88%的惊人涨幅领跑全场，创业板紧随其后大涨6.70%，而以上证指数和沪深300为代表的大盘价值则表现平淡，上证仅收涨1.07%。资金从银行、地产等传统权重板块中猛烈抽离，以近乎疯狂的速度涌入半导体、AI算力等硬核科技赛道，全市场涨跌家数比高达920:75，涨停家数达160家，赚钱效应高度集中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📈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涨跌比：</w:t>
      </w:r>
      <w:r>
        <w:rPr>
          <w:rFonts w:ascii="微软雅黑" w:hAnsi="微软雅黑" w:eastAsia="微软雅黑"/>
          <w:color w:val="1A1A1A"/>
          <w:sz w:val="22"/>
        </w:rPr>
        <w:t>全市场上涨920家，下跌75家，涨跌比达到12.3:1，上涨比率92.0%，为近期极端峰值，显示多头情绪全面爆发。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成交额：</w:t>
      </w:r>
      <w:r>
        <w:rPr>
          <w:rFonts w:ascii="微软雅黑" w:hAnsi="微软雅黑" w:eastAsia="微软雅黑"/>
          <w:color w:val="1A1A1A"/>
          <w:sz w:val="22"/>
        </w:rPr>
        <w:t>日内成交额数据暂缺，但从各指数巨大的成交量（如科创50成交量接近600万手）看，市场交投活跃，属于典型的带量上攻。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北向资金：</w:t>
      </w:r>
      <w:r>
        <w:rPr>
          <w:rFonts w:ascii="微软雅黑" w:hAnsi="微软雅黑" w:eastAsia="微软雅黑"/>
          <w:color w:val="1A1A1A"/>
          <w:sz w:val="22"/>
        </w:rPr>
        <w:t>全天净流出30.68亿元，沪股通净流出9.28亿，深股通净流出21.40亿。外资逆势流出，与内资主导的科技狂欢形成背离，深市流出额更大，值得警惕。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🔥 板块热点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领涨主线：半导体 / AI算力（硬件端）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科技成长股全线井喷，其烈度由科创50的涨幅可见一斑。驱动因素清晰：业绩驱动叠加情绪共振。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核心驱动：</w:t>
      </w:r>
      <w:r>
        <w:rPr>
          <w:rFonts w:ascii="微软雅黑" w:hAnsi="微软雅黑" w:eastAsia="微软雅黑"/>
          <w:color w:val="1A1A1A"/>
          <w:sz w:val="22"/>
        </w:rPr>
        <w:t>以</w:t>
      </w:r>
      <w:r>
        <w:rPr>
          <w:rFonts w:ascii="微软雅黑" w:hAnsi="微软雅黑" w:eastAsia="微软雅黑"/>
          <w:color w:val="1A1A1A"/>
          <w:sz w:val="22"/>
        </w:rPr>
        <w:t>生益电子</w:t>
      </w:r>
      <w:r>
        <w:rPr>
          <w:rFonts w:ascii="微软雅黑" w:hAnsi="微软雅黑" w:eastAsia="微软雅黑"/>
          <w:color w:val="1A1A1A"/>
          <w:sz w:val="22"/>
        </w:rPr>
        <w:t>、</w:t>
      </w:r>
      <w:r>
        <w:rPr>
          <w:rFonts w:ascii="微软雅黑" w:hAnsi="微软雅黑" w:eastAsia="微软雅黑"/>
          <w:color w:val="1A1A1A"/>
          <w:sz w:val="22"/>
        </w:rPr>
        <w:t>方邦股份</w:t>
      </w:r>
      <w:r>
        <w:rPr>
          <w:rFonts w:ascii="微软雅黑" w:hAnsi="微软雅黑" w:eastAsia="微软雅黑"/>
          <w:color w:val="1A1A1A"/>
          <w:sz w:val="22"/>
        </w:rPr>
        <w:t>（20%涨停）等为代表的PCB/电子元器件方向，以及</w:t>
      </w:r>
      <w:r>
        <w:rPr>
          <w:rFonts w:ascii="微软雅黑" w:hAnsi="微软雅黑" w:eastAsia="微软雅黑"/>
          <w:color w:val="1A1A1A"/>
          <w:sz w:val="22"/>
        </w:rPr>
        <w:t>芯碁微装</w:t>
      </w:r>
      <w:r>
        <w:rPr>
          <w:rFonts w:ascii="微软雅黑" w:hAnsi="微软雅黑" w:eastAsia="微软雅黑"/>
          <w:color w:val="1A1A1A"/>
          <w:sz w:val="22"/>
        </w:rPr>
        <w:t>、</w:t>
      </w:r>
      <w:r>
        <w:rPr>
          <w:rFonts w:ascii="微软雅黑" w:hAnsi="微软雅黑" w:eastAsia="微软雅黑"/>
          <w:color w:val="1A1A1A"/>
          <w:sz w:val="22"/>
        </w:rPr>
        <w:t>和林微纳</w:t>
      </w:r>
      <w:r>
        <w:rPr>
          <w:rFonts w:ascii="微软雅黑" w:hAnsi="微软雅黑" w:eastAsia="微软雅黑"/>
          <w:color w:val="1A1A1A"/>
          <w:sz w:val="22"/>
        </w:rPr>
        <w:t>等半导体设备材料方向，均以20%的幅度涨停，显示资金对半导体产业链国产替代逻辑和业绩确定性的极度追捧。AI算力核心</w:t>
      </w:r>
      <w:r>
        <w:rPr>
          <w:rFonts w:ascii="微软雅黑" w:hAnsi="微软雅黑" w:eastAsia="微软雅黑"/>
          <w:color w:val="1A1A1A"/>
          <w:sz w:val="22"/>
        </w:rPr>
        <w:t>罗博特科</w:t>
      </w:r>
      <w:r>
        <w:rPr>
          <w:rFonts w:ascii="微软雅黑" w:hAnsi="微软雅黑" w:eastAsia="微软雅黑"/>
          <w:color w:val="1A1A1A"/>
          <w:sz w:val="22"/>
        </w:rPr>
        <w:t>以近20%涨幅收盘，PE为负，凸显市场当前对远期空间的定价远超当期盈利。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杀跌板块：银行、地产、传统周期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资金跷跷板效应显著。以</w:t>
      </w:r>
      <w:r>
        <w:rPr>
          <w:rFonts w:ascii="微软雅黑" w:hAnsi="微软雅黑" w:eastAsia="微软雅黑"/>
          <w:color w:val="1A1A1A"/>
          <w:sz w:val="22"/>
        </w:rPr>
        <w:t>农业银行</w:t>
      </w:r>
      <w:r>
        <w:rPr>
          <w:rFonts w:ascii="微软雅黑" w:hAnsi="微软雅黑" w:eastAsia="微软雅黑"/>
          <w:color w:val="1A1A1A"/>
          <w:sz w:val="22"/>
        </w:rPr>
        <w:t>（-5.06%）、</w:t>
      </w:r>
      <w:r>
        <w:rPr>
          <w:rFonts w:ascii="微软雅黑" w:hAnsi="微软雅黑" w:eastAsia="微软雅黑"/>
          <w:color w:val="1A1A1A"/>
          <w:sz w:val="22"/>
        </w:rPr>
        <w:t>建设银行</w:t>
      </w:r>
      <w:r>
        <w:rPr>
          <w:rFonts w:ascii="微软雅黑" w:hAnsi="微软雅黑" w:eastAsia="微软雅黑"/>
          <w:color w:val="1A1A1A"/>
          <w:sz w:val="22"/>
        </w:rPr>
        <w:t>（-4.74%）为代表的国有大行领跌，地产股如</w:t>
      </w:r>
      <w:r>
        <w:rPr>
          <w:rFonts w:ascii="微软雅黑" w:hAnsi="微软雅黑" w:eastAsia="微软雅黑"/>
          <w:color w:val="1A1A1A"/>
          <w:sz w:val="22"/>
        </w:rPr>
        <w:t>陆家嘴</w:t>
      </w:r>
      <w:r>
        <w:rPr>
          <w:rFonts w:ascii="微软雅黑" w:hAnsi="微软雅黑" w:eastAsia="微软雅黑"/>
          <w:color w:val="1A1A1A"/>
          <w:sz w:val="22"/>
        </w:rPr>
        <w:t>（-5.92%）、</w:t>
      </w:r>
      <w:r>
        <w:rPr>
          <w:rFonts w:ascii="微软雅黑" w:hAnsi="微软雅黑" w:eastAsia="微软雅黑"/>
          <w:color w:val="1A1A1A"/>
          <w:sz w:val="22"/>
        </w:rPr>
        <w:t>滨江集团</w:t>
      </w:r>
      <w:r>
        <w:rPr>
          <w:rFonts w:ascii="微软雅黑" w:hAnsi="微软雅黑" w:eastAsia="微软雅黑"/>
          <w:color w:val="1A1A1A"/>
          <w:sz w:val="22"/>
        </w:rPr>
        <w:t>（-4.65%）亦大幅下挫。驱动逻辑为：科技股强烈的赚钱效应引发资金从低波动、低预期收益的防御性板块中迁徙，属于主动调仓换股行为，而非基本面突变。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📉 技术信号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各指数技术形态分化严重：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科创50（000688）：</w:t>
      </w:r>
      <w:r>
        <w:rPr>
          <w:rFonts w:ascii="微软雅黑" w:hAnsi="微软雅黑" w:eastAsia="微软雅黑"/>
          <w:color w:val="1A1A1A"/>
          <w:sz w:val="22"/>
        </w:rPr>
        <w:t>今日以8.88%的涨幅收出光头大阳线，一举突破历史新高。所有均线系统呈完美多头排列，MACD金叉后红柱绝对值急剧放大，RSI进入深度超买区间（&gt;80）。信号解读：趋势极强，但短线乖离率过大，有加速赶顶意味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创业板指（399006）：</w:t>
      </w:r>
      <w:r>
        <w:rPr>
          <w:rFonts w:ascii="微软雅黑" w:hAnsi="微软雅黑" w:eastAsia="微软雅黑"/>
          <w:color w:val="1A1A1A"/>
          <w:sz w:val="22"/>
        </w:rPr>
        <w:t>同步放量大涨6.70%，突破前期整理平台。MACD水上金叉，KDJ指标J值钝化。信号解读：是此轮科技行情的跟随者和确认者，走势健康但同样进入超买区。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上证指数（000001）：</w:t>
      </w:r>
      <w:r>
        <w:rPr>
          <w:rFonts w:ascii="微软雅黑" w:hAnsi="微软雅黑" w:eastAsia="微软雅黑"/>
          <w:color w:val="1A1A1A"/>
          <w:sz w:val="22"/>
        </w:rPr>
        <w:t>温和上涨1.07%，明显弱于科技指数。指数受银行股拖累，仍在前期高点下方震荡，MA5/10日均线粘合。MACD金叉后红柱放大缓慢。信号解读：大盘价值风格显著承压，指数层面失真，无法反映今日市场的真实热度。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🔎 量化视角</w:t>
      </w:r>
    </w:p>
    <w:p>
      <w:pPr>
        <w:spacing w:after="120"/>
      </w:pP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资金流向：</w:t>
      </w:r>
      <w:r>
        <w:rPr>
          <w:rFonts w:ascii="微软雅黑" w:hAnsi="微软雅黑" w:eastAsia="微软雅黑"/>
          <w:color w:val="1A1A1A"/>
          <w:sz w:val="22"/>
        </w:rPr>
        <w:t>根据样本数据，大单净流入110.09亿元，总计净流入109.82亿元，机构资金呈现单边净买入态势，与北向资金的流出形成鲜明对立，说明今日行情完全由内资机构主导，方向是“卖大买小、卖旧买新”。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量价关系：</w:t>
      </w:r>
      <w:r>
        <w:rPr>
          <w:rFonts w:ascii="微软雅黑" w:hAnsi="微软雅黑" w:eastAsia="微软雅黑"/>
          <w:color w:val="1A1A1A"/>
          <w:sz w:val="22"/>
        </w:rPr>
        <w:t>核心指数呈现显著的“放量突破”形态。量涨价增，配合良好。但需注意，在极端高涨幅下，若后续无法维持同等或更大成交量，极易出现高位震荡和快速分化。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市场宽度：</w:t>
      </w:r>
      <w:r>
        <w:rPr>
          <w:rFonts w:ascii="微软雅黑" w:hAnsi="微软雅黑" w:eastAsia="微软雅黑"/>
          <w:color w:val="1A1A1A"/>
          <w:sz w:val="22"/>
        </w:rPr>
        <w:t>涨跌比达到12.3:1的极限水平，市场宽度极佳，但同时也接近统计数据中的情绪高点，次日分化概率上升。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🌍 宏观背景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当前宏观环境呈现“弱复苏、宽货币、高技术投入”的格局，为科技股行情提供了温床：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通胀与增长：</w:t>
      </w:r>
      <w:r>
        <w:rPr>
          <w:rFonts w:ascii="微软雅黑" w:hAnsi="微软雅黑" w:eastAsia="微软雅黑"/>
          <w:color w:val="1A1A1A"/>
          <w:sz w:val="22"/>
        </w:rPr>
        <w:t>CPI（1.0%）温和，PPI（4.1%）偏高显示上游利润较好，制造业PMI（50.3）连续处于扩张区间。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流动性：</w:t>
      </w:r>
      <w:r>
        <w:rPr>
          <w:rFonts w:ascii="微软雅黑" w:hAnsi="微软雅黑" w:eastAsia="微软雅黑"/>
          <w:color w:val="1A1A1A"/>
          <w:sz w:val="22"/>
        </w:rPr>
        <w:t>M2增速达8.0%，社融存量同比增长7.4%，LPR已连续14个月不变，市场流动性充裕，实体融资需求相对平稳，过剩流动性外溢至股市，尤其是高贝塔的科技板块。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政策面：</w:t>
      </w:r>
      <w:r>
        <w:rPr>
          <w:rFonts w:ascii="微软雅黑" w:hAnsi="微软雅黑" w:eastAsia="微软雅黑"/>
          <w:color w:val="1A1A1A"/>
          <w:sz w:val="22"/>
        </w:rPr>
        <w:t>净息差处于1.4%的历史低位，持续压制银行股利润预期，这加剧了资金从“低估值陷阱”向成长股的迁移。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⚠️ 风险提示</w:t>
      </w:r>
    </w:p>
    <w:p>
      <w:pPr>
        <w:spacing w:after="120"/>
      </w:pP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情绪过热与短期超买风险：</w:t>
      </w:r>
      <w:r>
        <w:rPr>
          <w:rFonts w:ascii="微软雅黑" w:hAnsi="微软雅黑" w:eastAsia="微软雅黑"/>
          <w:color w:val="1A1A1A"/>
          <w:sz w:val="22"/>
        </w:rPr>
        <w:t>科创50、创业板指RSI均进入深度超买区，今日市场情绪几近癫狂，短期存在剧烈回调或盘中大幅震荡清洗浮筹的需求。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内外资分歧风险：</w:t>
      </w:r>
      <w:r>
        <w:rPr>
          <w:rFonts w:ascii="微软雅黑" w:hAnsi="微软雅黑" w:eastAsia="微软雅黑"/>
          <w:color w:val="1A1A1A"/>
          <w:sz w:val="22"/>
        </w:rPr>
        <w:t>北向资金今日净流出超30亿，与内资大买形成背离。这种分歧若持续，尤其是深股通资金持续流出，可能预示科技股行情的短期顶部。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风格切换的持续性：</w:t>
      </w:r>
      <w:r>
        <w:rPr>
          <w:rFonts w:ascii="微软雅黑" w:hAnsi="微软雅黑" w:eastAsia="微软雅黑"/>
          <w:color w:val="1A1A1A"/>
          <w:sz w:val="22"/>
        </w:rPr>
        <w:t>银行板块的放量破位下跌是否已阶段性出清尚不确定。若银行股企稳反弹，可能对高位科技股形成资金分流压力。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明日关注：</w:t>
      </w:r>
      <w:r>
        <w:rPr>
          <w:rFonts w:ascii="微软雅黑" w:hAnsi="微软雅黑" w:eastAsia="微软雅黑"/>
          <w:color w:val="1A1A1A"/>
          <w:sz w:val="22"/>
        </w:rPr>
        <w:t>重点观察科创50能否在今日收盘价附近稳住，核心标的</w:t>
      </w:r>
      <w:r>
        <w:rPr>
          <w:rFonts w:ascii="微软雅黑" w:hAnsi="微软雅黑" w:eastAsia="微软雅黑"/>
          <w:color w:val="1A1A1A"/>
          <w:sz w:val="22"/>
        </w:rPr>
        <w:t>生益电子</w:t>
      </w:r>
      <w:r>
        <w:rPr>
          <w:rFonts w:ascii="微软雅黑" w:hAnsi="微软雅黑" w:eastAsia="微软雅黑"/>
          <w:color w:val="1A1A1A"/>
          <w:sz w:val="22"/>
        </w:rPr>
        <w:t>、</w:t>
      </w:r>
      <w:r>
        <w:rPr>
          <w:rFonts w:ascii="微软雅黑" w:hAnsi="微软雅黑" w:eastAsia="微软雅黑"/>
          <w:color w:val="1A1A1A"/>
          <w:sz w:val="22"/>
        </w:rPr>
        <w:t>芯碁微装</w:t>
      </w:r>
      <w:r>
        <w:rPr>
          <w:rFonts w:ascii="微软雅黑" w:hAnsi="微软雅黑" w:eastAsia="微软雅黑"/>
          <w:color w:val="1A1A1A"/>
          <w:sz w:val="22"/>
        </w:rPr>
        <w:t>等的开盘溢价情况。若出现大面积低开低走，则需警惕短期情绪退潮。上证指数3890点一带是重要压力位。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