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3905.10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14094.17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3545.58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1653.56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4618.77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7854.33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涨0.43%，对A股科技成长板块构成情绪暖场；但富时A50期货、恒生指数及离岸人民币数据缺失，无法形成完整的外部联动信号，开盘方向不宜单边外推。从单一美股映射看，纳指涨幅温和，映射到A股大概率体现为指数小幅高开0.1%-0.3%，但当前宏观面CPI/PPI双降、PMI收缩形成压制，高开后的量价配合才是决定日内方向的关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收盘具体点位未提供，关键位置从量价结构推演：若指数高开超过0.3%但前30分钟成交额未较昨日同期放大，需警惕高开低走；下方支撑可参考近5日分时VWAP，而非固定点位。量化宽度上，重点跟踪涨跌家数比能否回到1.5以上、涨停家数是否大于50家，若市场宽度修复滞后于指数，反弹持续性存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宏观维度：7月CPI同比0.5%、PPI同比3.5%显著回落，PPI-CPI剪刀差收窄，中下游利润率修复；制造业PMI 49.2与服务业PMI 49.3双双落于荣枯线下方，需求端疲弱是核心矛盾。流动性端，M2同比8.0%、社融存量同比7.4%，信用扩张乏力；LPR连续14个月未变，商业银行净息差1.4%历史低位，短期总量宽松受限，政策更可能以结构性工具对冲。板块线索关注三条：①PPI下行受益的中下游制造与必选消费；②高技术制造业PMI 53.3%逆势扩张对应的半导体/军工电子；③高股息防御资产在弱宏观下的相对收益。风险点：低通胀+弱PMI易诱发“类通缩”交易，今日若无量能配合的冲高，应视为减仓而非加仓信号。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