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2026-09-14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3888.09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13471.26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3322.04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1553.39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4510.16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7580.54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隔夜纳斯达克收涨0.96%至26333点，科技权重风险偏好回升，对A股开盘构成正向情绪传导，尤其利好半导体、消费电子、AI算力等映射方向。但富时A50期货数据缺失，无法直接锚定开盘方向；仅凭纳指单边上涨，A股大概率小幅高开或平开，需集合竞价量能验证，若高开幅度不足0.3%且量能萎缩，则情绪提振有限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从传导强度看，纳指+0.96%属于温和上涨而非跳空突破，对A股的拉动更多体现在个股层面而非指数层面。考虑到A股昨日收盘位置不明，建议以开盘后15分钟成交额是否同比放大作为有效传导的判定标准。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宏观面呈现“通胀回落+景气收缩+社融少增”的组合：7月CPI同比0.5%（前值1.0%），PPI同比3.5%（前值4.1%），制造业PMI 49.2与服务业PMI 49.3同步跌破荣枯线，显示内需修复动能偏弱。但结构数据中高技术制造业PMI 53.3%逆势扩张，意味着资金可能继续向成长赛道集中，周期与消费板块承压。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流动性维度，M2同比8.0%、M1同比4.0%，M1-M2剪刀差走阔反映企业活化资金不足；社融增量同比少增8,606亿元，且LPR连续14个月未动、银行净息差1.4%历史低位，总量宽松空间受限，政策更可能以结构性工具替代降息。今日需关注市场是否对偏弱数据做出“利空钝化”反应：若低开高走且成交额放大至近期均量1.1倍以上，可视为资金借利空吸筹；若缩量反弹或涨跌家数比低于1:2，则警惕存量博弈下的高开抛压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板块层面，纳指映射的科技成长股有情绪支撑，但需提防高位拥挤度，关注成交占比是否突破阈值；PPI回落压制有色、化工等顺周期品种，资金或继续抱团景气独立方向（军工、电力设备、创新药）。外资监测上，北向数据已不公开，需通过南向资金与离岸人民币联动判断：若南向净买入超30亿元且离岸人民币贬值，则内外资分歧加大，以内盘量价为准；若南向净卖出且A50/恒生科技同步走强，则偏多信号增强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关键位置方面，由于缺少昨日收盘指数数据，无法给出具体点位，建议以昨日收盘价为多空分水岭：若低开不破前低且快速收回，短线偏多；若高开低走放量跌破昨收，则反弹终结。风险点在于7月经济数据全面走弱可能引发政策预期下修，以及A50期货数据缺失带来的开盘方向不确定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