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2026-08-10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3947.68</w:t>
            </w:r>
          </w:p>
        </w:tc>
        <w:tc>
          <w:tcPr>
            <w:tcW w:type="dxa" w:w="2160"/>
          </w:tcPr>
          <w:p>
            <w:r>
              <w:t>+0.19%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14148.75</w:t>
            </w:r>
          </w:p>
        </w:tc>
        <w:tc>
          <w:tcPr>
            <w:tcW w:type="dxa" w:w="2160"/>
          </w:tcPr>
          <w:p>
            <w:r>
              <w:t>-1.13%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3485.66</w:t>
            </w:r>
          </w:p>
        </w:tc>
        <w:tc>
          <w:tcPr>
            <w:tcW w:type="dxa" w:w="2160"/>
          </w:tcPr>
          <w:p>
            <w:r>
              <w:t>-2.17%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1715.63</w:t>
            </w:r>
          </w:p>
        </w:tc>
        <w:tc>
          <w:tcPr>
            <w:tcW w:type="dxa" w:w="2160"/>
          </w:tcPr>
          <w:p>
            <w:r>
              <w:t>-1.63%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4669.93</w:t>
            </w:r>
          </w:p>
        </w:tc>
        <w:tc>
          <w:tcPr>
            <w:tcW w:type="dxa" w:w="2160"/>
          </w:tcPr>
          <w:p>
            <w:r>
              <w:t>-0.52%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7942.16</w:t>
            </w:r>
          </w:p>
        </w:tc>
        <w:tc>
          <w:tcPr>
            <w:tcW w:type="dxa" w:w="2160"/>
          </w:tcPr>
          <w:p>
            <w:r>
              <w:t>-0.48%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北向活跃度：成交 20110 亿（高活跃度）</w:t>
      </w:r>
    </w:p>
    <w:p>
      <w:r>
        <w:t xml:space="preserve">  沪/深偏好：沪市 43%（偏成长进攻）</w:t>
      </w:r>
    </w:p>
    <w:p>
      <w:r>
        <w:t xml:space="preserve">  南向资金：净买入 37.8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注：北向净买入自2024年证监会新规后不再公开发布，方向由活跃度+南向+外部联动综合推断</w:t>
      </w:r>
    </w:p>
    <w:p>
      <w:r>
        <w:rPr>
          <w:b/>
        </w:rPr>
        <w:t>大资金方向（替代两融）：</w:t>
      </w:r>
      <w:r>
        <w:t>30 股聚合净流入 9.77 亿  |  大单净 10.44 亿  |  涨家 10 / 跌家 20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A股午盘总结报告（2026-08-10 11:30）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本时段核心变化是成长股加速下跌与防御板块虹吸同步发生，市场呈现极致"冰火两重天"。</w:t>
      </w:r>
      <w:r>
        <w:rPr>
          <w:rFonts w:ascii="微软雅黑" w:hAnsi="微软雅黑" w:eastAsia="微软雅黑"/>
          <w:color w:val="1A1A1A"/>
          <w:sz w:val="22"/>
        </w:rPr>
        <w:t>上证在权重护盘下微红0.19%，但创业板指重挫2.17%（较上一时段加速-0.54pp），沪深300稳守-0.52%，资金从科技成长向消费、医药、周期等防御阵地快速腾挪。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上午盘面是典型的"指数掩护下的个股逃逸"。上证综指红盘仅靠少数权重支撑，深证成指与创业板指持续滑坡且</w:t>
      </w:r>
      <w:r>
        <w:rPr>
          <w:rFonts w:ascii="微软雅黑" w:hAnsi="微软雅黑" w:eastAsia="微软雅黑"/>
          <w:b/>
          <w:color w:val="D29922"/>
          <w:sz w:val="22"/>
        </w:rPr>
        <w:t>跌速逐级放大</w:t>
      </w:r>
      <w:r>
        <w:rPr>
          <w:rFonts w:ascii="微软雅黑" w:hAnsi="微软雅黑" w:eastAsia="微软雅黑"/>
          <w:color w:val="1A1A1A"/>
          <w:sz w:val="22"/>
        </w:rPr>
        <w:t>，市场赚钱效应集中在消费、农业等内需防守板块，而前期热门的AI、半导体等科技链条遭遇集中兑现。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：上涨566家 vs 下跌425家，涨跌比1.33:1，表面偏暖，但</w:t>
      </w:r>
      <w:r>
        <w:rPr>
          <w:rFonts w:ascii="微软雅黑" w:hAnsi="微软雅黑" w:eastAsia="微软雅黑"/>
          <w:b/>
          <w:color w:val="D29922"/>
          <w:sz w:val="22"/>
        </w:rPr>
        <w:t>跌停5家、涨停仅8家</w:t>
      </w:r>
      <w:r>
        <w:rPr>
          <w:rFonts w:ascii="微软雅黑" w:hAnsi="微软雅黑" w:eastAsia="微软雅黑"/>
          <w:color w:val="1A1A1A"/>
          <w:sz w:val="22"/>
        </w:rPr>
        <w:t>，市场广度虽可，但风险偏好急剧收缩。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：半日17344亿，</w:t>
      </w:r>
      <w:r>
        <w:rPr>
          <w:rFonts w:ascii="微软雅黑" w:hAnsi="微软雅黑" w:eastAsia="微软雅黑"/>
          <w:b/>
          <w:color w:val="D29922"/>
          <w:sz w:val="22"/>
        </w:rPr>
        <w:t>较上一时段+28.0%</w:t>
      </w:r>
      <w:r>
        <w:rPr>
          <w:rFonts w:ascii="微软雅黑" w:hAnsi="微软雅黑" w:eastAsia="微软雅黑"/>
          <w:color w:val="1A1A1A"/>
          <w:sz w:val="22"/>
        </w:rPr>
        <w:t>，显著放量。量在价先，放量下跌（尤其是创业板）是典型的机构减仓信号，而非散户恐慌。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外资监测（北向活跃度）</w:t>
      </w:r>
      <w:r>
        <w:rPr>
          <w:rFonts w:ascii="微软雅黑" w:hAnsi="微软雅黑" w:eastAsia="微软雅黑"/>
          <w:color w:val="1A1A1A"/>
          <w:sz w:val="22"/>
        </w:rPr>
        <w:t>：半日成交20110亿，</w:t>
      </w:r>
      <w:r>
        <w:rPr>
          <w:rFonts w:ascii="微软雅黑" w:hAnsi="微软雅黑" w:eastAsia="微软雅黑"/>
          <w:b/>
          <w:color w:val="D29922"/>
          <w:sz w:val="22"/>
        </w:rPr>
        <w:t>与上一时段持平</w:t>
      </w:r>
      <w:r>
        <w:rPr>
          <w:rFonts w:ascii="微软雅黑" w:hAnsi="微软雅黑" w:eastAsia="微软雅黑"/>
          <w:color w:val="1A1A1A"/>
          <w:sz w:val="22"/>
        </w:rPr>
        <w:t>，维持极高活跃度。沪市成交占比42.8%（偏成长进攻），深市占57.2%，外资交易重心仍在深市科技股，但需警惕：高活跃度下若后续出现活跃度骤降，将是大资金停手观望的确认。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：净买入37.8亿（较上一时段+6.4亿），内资持续南下抄底港股，</w:t>
      </w:r>
      <w:r>
        <w:rPr>
          <w:rFonts w:ascii="微软雅黑" w:hAnsi="微软雅黑" w:eastAsia="微软雅黑"/>
          <w:b/>
          <w:color w:val="D29922"/>
          <w:sz w:val="22"/>
        </w:rPr>
        <w:t>A股情绪反向指标持续偏空</w:t>
      </w:r>
      <w:r>
        <w:rPr>
          <w:rFonts w:ascii="微软雅黑" w:hAnsi="微软雅黑" w:eastAsia="微软雅黑"/>
          <w:color w:val="1A1A1A"/>
          <w:sz w:val="22"/>
        </w:rPr>
        <w:t>，说明内资对A股短期信心不足。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领涨阵营（防御+内需）：</w:t>
      </w:r>
      <w:r>
        <w:br/>
      </w:r>
      <w:r>
        <w:rPr>
          <w:rFonts w:ascii="微软雅黑" w:hAnsi="微软雅黑" w:eastAsia="微软雅黑"/>
          <w:color w:val="1A1A1A"/>
          <w:sz w:val="22"/>
        </w:rPr>
        <w:t>酿酒行业+1.93%，食品行业+0.25%，酒店旅游+0.21%，农林牧渔+0.20%，煤炭+0.13%。</w:t>
      </w:r>
      <w:r>
        <w:rPr>
          <w:rFonts w:ascii="微软雅黑" w:hAnsi="微软雅黑" w:eastAsia="微软雅黑"/>
          <w:b/>
          <w:color w:val="D29922"/>
          <w:sz w:val="22"/>
        </w:rPr>
        <w:t>典型的高股息+必选消费防御组合拳，与外资沪市偏好下降形成背离</w:t>
      </w:r>
      <w:r>
        <w:rPr>
          <w:rFonts w:ascii="微软雅黑" w:hAnsi="微软雅黑" w:eastAsia="微软雅黑"/>
          <w:color w:val="1A1A1A"/>
          <w:sz w:val="22"/>
        </w:rPr>
        <w:t>，说明本轮内资主动调仓意愿更强。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领跌阵营（科技+次新）：</w:t>
      </w:r>
      <w:r>
        <w:br/>
      </w:r>
      <w:r>
        <w:rPr>
          <w:rFonts w:ascii="微软雅黑" w:hAnsi="微软雅黑" w:eastAsia="微软雅黑"/>
          <w:color w:val="1A1A1A"/>
          <w:sz w:val="22"/>
        </w:rPr>
        <w:t>次新股-2.14%，电子器件-0.42%，电子信息-0.33%，机械-0.36%。次新板块连续遭重创，是市场风险偏好降温最敏感的指标。</w:t>
      </w:r>
      <w:r>
        <w:rPr>
          <w:rFonts w:ascii="微软雅黑" w:hAnsi="微软雅黑" w:eastAsia="微软雅黑"/>
          <w:b/>
          <w:color w:val="D29922"/>
          <w:sz w:val="22"/>
        </w:rPr>
        <w:t>跌幅居前的朗科科技、炬光科技均为前期高位半导体标的，资金了结意愿坚决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：站上3947，横盘整理，短期均线多头排列未破坏，但量能背离——横盘放量往往酝酿方向选择。MACD红柱缩短，RSI偏高（预计70附近），高位钝化明显。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：跌破3500整数关，较开盘跌2.17%，</w:t>
      </w:r>
      <w:r>
        <w:rPr>
          <w:rFonts w:ascii="微软雅黑" w:hAnsi="微软雅黑" w:eastAsia="微软雅黑"/>
          <w:b/>
          <w:color w:val="D29922"/>
          <w:sz w:val="22"/>
        </w:rPr>
        <w:t>空头动能加速释放</w:t>
      </w:r>
      <w:r>
        <w:rPr>
          <w:rFonts w:ascii="微软雅黑" w:hAnsi="微软雅黑" w:eastAsia="微软雅黑"/>
          <w:color w:val="1A1A1A"/>
          <w:sz w:val="22"/>
        </w:rPr>
        <w:t>。日线级别跌破5/10日均线，下一支撑看3400点（前低附近）。MACD死叉形成，RSI快速回落到40以下，短线超卖但无反弹信号。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：连续两日较重回撤，科技主线退潮确认，技术面偏空，需等待缩量企稳。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：上午量能放大28%，但指数除上证外全线收跌，</w:t>
      </w:r>
      <w:r>
        <w:rPr>
          <w:rFonts w:ascii="微软雅黑" w:hAnsi="微软雅黑" w:eastAsia="微软雅黑"/>
          <w:b/>
          <w:color w:val="D29922"/>
          <w:sz w:val="22"/>
        </w:rPr>
        <w:t>量增价跌是典型的派发信号</w:t>
      </w:r>
      <w:r>
        <w:rPr>
          <w:rFonts w:ascii="微软雅黑" w:hAnsi="微软雅黑" w:eastAsia="微软雅黑"/>
          <w:color w:val="1A1A1A"/>
          <w:sz w:val="22"/>
        </w:rPr>
        <w:t>。尤以创业板最为典型，开盘3567后单边下行，分时图呈现"阶梯式"放量下挫，说明每次反弹均遭遇卖盘压制。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：大单净流入10.44亿，但资金流入家数仅10家、流出20家，</w:t>
      </w:r>
      <w:r>
        <w:rPr>
          <w:rFonts w:ascii="微软雅黑" w:hAnsi="微软雅黑" w:eastAsia="微软雅黑"/>
          <w:b/>
          <w:color w:val="D29922"/>
          <w:sz w:val="22"/>
        </w:rPr>
        <w:t>资金向极少数权重股集中（如贵州茅台、海天味业等），市场宽度实质上在恶化</w:t>
      </w:r>
      <w:r>
        <w:rPr>
          <w:rFonts w:ascii="微软雅黑" w:hAnsi="微软雅黑" w:eastAsia="微软雅黑"/>
          <w:color w:val="1A1A1A"/>
          <w:sz w:val="22"/>
        </w:rPr>
        <w:t>。中小盘股失血是当前最大隐忧。</w:t>
      </w:r>
      <w:r>
        <w:br/>
      </w:r>
      <w:r>
        <w:rPr>
          <w:rFonts w:ascii="微软雅黑" w:hAnsi="微软雅黑" w:eastAsia="微软雅黑"/>
          <w:b/>
          <w:color w:val="D29922"/>
          <w:sz w:val="22"/>
        </w:rPr>
        <w:t>板块轮动速度</w:t>
      </w:r>
      <w:r>
        <w:rPr>
          <w:rFonts w:ascii="微软雅黑" w:hAnsi="微软雅黑" w:eastAsia="微软雅黑"/>
          <w:color w:val="1A1A1A"/>
          <w:sz w:val="22"/>
        </w:rPr>
        <w:t>：近3日板块持续性极差，热点从AI切换到消费，再切到周期，</w:t>
      </w:r>
      <w:r>
        <w:rPr>
          <w:rFonts w:ascii="微软雅黑" w:hAnsi="微软雅黑" w:eastAsia="微软雅黑"/>
          <w:b/>
          <w:color w:val="D29922"/>
          <w:sz w:val="22"/>
        </w:rPr>
        <w:t>轮动加速通常是变盘前兆</w:t>
      </w:r>
      <w:r>
        <w:rPr>
          <w:rFonts w:ascii="微软雅黑" w:hAnsi="微软雅黑" w:eastAsia="微软雅黑"/>
          <w:color w:val="1A1A1A"/>
          <w:sz w:val="22"/>
        </w:rPr>
        <w:t>。若下午仍无明确主线崛起，警惕全面回落。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最新数据面（8月9日发布）：</w:t>
      </w:r>
      <w:r>
        <w:br/>
      </w:r>
      <w:r>
        <w:rPr>
          <w:rFonts w:ascii="微软雅黑" w:hAnsi="微软雅黑" w:eastAsia="微软雅黑"/>
          <w:color w:val="1A1A1A"/>
          <w:sz w:val="22"/>
        </w:rPr>
        <w:t>CPI同比+0.5%（前值1.0%），核心CPI同比+0.9%，通缩压力不减。PPI同比+3.5%（前值4.1%），但环比-0.7%，输入性因素拖累明显。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PMI（7月）制造业49.2%、服务业49.3%，双双跌破荣枯线，经济复苏动能趋弱。</w:t>
      </w:r>
      <w:r>
        <w:rPr>
          <w:rFonts w:ascii="微软雅黑" w:hAnsi="微软雅黑" w:eastAsia="微软雅黑"/>
          <w:b/>
          <w:color w:val="D29922"/>
          <w:sz w:val="22"/>
        </w:rPr>
        <w:t>宏观面整体中性偏冷，对顺周期板块支撑不足，但对高股息防御逻辑形成强化。</w:t>
      </w:r>
      <w:r>
        <w:br/>
      </w:r>
      <w:r>
        <w:rPr>
          <w:rFonts w:ascii="微软雅黑" w:hAnsi="微软雅黑" w:eastAsia="微软雅黑"/>
          <w:color w:val="1A1A1A"/>
          <w:sz w:val="22"/>
        </w:rPr>
        <w:t>流动性方面，LPR连续14个月维持不变，M2增速8.0%，市场利率处于历史低位，但</w:t>
      </w:r>
      <w:r>
        <w:rPr>
          <w:rFonts w:ascii="微软雅黑" w:hAnsi="微软雅黑" w:eastAsia="微软雅黑"/>
          <w:b/>
          <w:color w:val="D29922"/>
          <w:sz w:val="22"/>
        </w:rPr>
        <w:t>宽货币向宽信用传导不畅</w:t>
      </w:r>
      <w:r>
        <w:rPr>
          <w:rFonts w:ascii="微软雅黑" w:hAnsi="微软雅黑" w:eastAsia="微软雅黑"/>
          <w:color w:val="1A1A1A"/>
          <w:sz w:val="22"/>
        </w:rPr>
        <w:t>，资金淤积在银行间市场，实体经济有效融资需求偏弱。</w:t>
      </w:r>
      <w:r>
        <w:rPr>
          <w:rFonts w:ascii="微软雅黑" w:hAnsi="微软雅黑" w:eastAsia="微软雅黑"/>
          <w:b/>
          <w:color w:val="D29922"/>
          <w:sz w:val="22"/>
        </w:rPr>
        <w:t>这也解释了为何A股出现"有资金无信心"的结构性轮动而非普涨。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加速下跌风险</w:t>
      </w:r>
      <w:r>
        <w:rPr>
          <w:rFonts w:ascii="微软雅黑" w:hAnsi="微软雅黑" w:eastAsia="微软雅黑"/>
          <w:color w:val="1A1A1A"/>
          <w:sz w:val="22"/>
        </w:rPr>
        <w:t>：创业板、科创50已连续加速下挫，若下午未见国家队护盘或北向资金放量抄底，可能触发量化止损盘连锁反应。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量价背离风险</w:t>
      </w:r>
      <w:r>
        <w:rPr>
          <w:rFonts w:ascii="微软雅黑" w:hAnsi="微软雅黑" w:eastAsia="微软雅黑"/>
          <w:color w:val="1A1A1A"/>
          <w:sz w:val="22"/>
        </w:rPr>
        <w:t>：上证横盘+极端放量=多空决战在即。若下午冲高回落，将形成"假突破"陷阱，杀伤力较大。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北向活跃度骤降风险</w:t>
      </w:r>
      <w:r>
        <w:rPr>
          <w:rFonts w:ascii="微软雅黑" w:hAnsi="微软雅黑" w:eastAsia="微软雅黑"/>
          <w:color w:val="1A1A1A"/>
          <w:sz w:val="22"/>
        </w:rPr>
        <w:t>：当前20110亿活跃度为极端高位，若下午骤降到10000亿以下，说明外资突然停手，届时所有外部联动信号均失效，内资独木难支。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南向持续净买入</w:t>
      </w:r>
      <w:r>
        <w:rPr>
          <w:rFonts w:ascii="微软雅黑" w:hAnsi="微软雅黑" w:eastAsia="微软雅黑"/>
          <w:color w:val="1A1A1A"/>
          <w:sz w:val="22"/>
        </w:rPr>
        <w:t>：37.8亿且边际扩大，若下午继续南向净流入，对A股情绪构成持续压制，尤其不利于成长股反弹。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下午展望：</w:t>
      </w:r>
      <w:r>
        <w:rPr>
          <w:rFonts w:ascii="微软雅黑" w:hAnsi="微软雅黑" w:eastAsia="微软雅黑"/>
          <w:color w:val="1A1A1A"/>
          <w:sz w:val="22"/>
        </w:rPr>
        <w:t>量能已放，下午大概率维持高成交量。关键看上证能否守住3940（午盘收3947，仅7个点缓冲），若跌破则日线收长上影，转弱确认；创业板需观察3400-3450区间能否出现止跌信号，若14:00前仍无放量反弹，则尾盘或加速下跌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