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2026-10-19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3731.88</w:t>
            </w:r>
          </w:p>
        </w:tc>
        <w:tc>
          <w:tcPr>
            <w:tcW w:type="dxa" w:w="2160"/>
          </w:tcPr>
          <w:p>
            <w:r>
              <w:t>+0.42%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11819.18</w:t>
            </w:r>
          </w:p>
        </w:tc>
        <w:tc>
          <w:tcPr>
            <w:tcW w:type="dxa" w:w="2160"/>
          </w:tcPr>
          <w:p>
            <w:r>
              <w:t>+0.14%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2746.89</w:t>
            </w:r>
          </w:p>
        </w:tc>
        <w:tc>
          <w:tcPr>
            <w:tcW w:type="dxa" w:w="2160"/>
          </w:tcPr>
          <w:p>
            <w:r>
              <w:t>-0.92%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1328.74</w:t>
            </w:r>
          </w:p>
        </w:tc>
        <w:tc>
          <w:tcPr>
            <w:tcW w:type="dxa" w:w="2160"/>
          </w:tcPr>
          <w:p>
            <w:r>
              <w:t>-2.20%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4175.11</w:t>
            </w:r>
          </w:p>
        </w:tc>
        <w:tc>
          <w:tcPr>
            <w:tcW w:type="dxa" w:w="2160"/>
          </w:tcPr>
          <w:p>
            <w:r>
              <w:t>+0.11%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6803.67</w:t>
            </w:r>
          </w:p>
        </w:tc>
        <w:tc>
          <w:tcPr>
            <w:tcW w:type="dxa" w:w="2160"/>
          </w:tcPr>
          <w:p>
            <w:r>
              <w:t>+0.46%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35.7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22.53 亿  |  大单净 23.29 亿  |  涨家 19 / 跌家 11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A股呈现典型的分化格局：上证指数收涨0.42%报3731.88点，深证成指微涨0.14%，但创业板指跌0.92%、科创50跌2.20%，权重护盘与成长杀跌并存。全市场上涨393家、下跌591家，上涨比例仅39.3%，赚钱效应明显偏弱。两市成交约1.42万亿元，量能维持万亿上方，但未能推动普涨，资金向少数权重和题材集中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：393涨 / 591跌 / 16平，上涨比例39.3%，市场宽度偏空。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涨停/跌停</w:t>
      </w:r>
      <w:r>
        <w:rPr>
          <w:rFonts w:ascii="微软雅黑" w:hAnsi="微软雅黑" w:eastAsia="微软雅黑"/>
          <w:color w:val="1A1A1A"/>
          <w:sz w:val="22"/>
        </w:rPr>
        <w:t>：涨停11家（口径可能未含20cm及ST），跌停3家；但涨幅超10%个股数量较多，显示结构性投机仍活跃。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：两市合计14244亿元，较近期维持万亿水平，量能未显著放大。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外资监测（南向+外部联动）</w:t>
      </w:r>
      <w:r>
        <w:rPr>
          <w:rFonts w:ascii="微软雅黑" w:hAnsi="微软雅黑" w:eastAsia="微软雅黑"/>
          <w:color w:val="1A1A1A"/>
          <w:sz w:val="22"/>
        </w:rPr>
        <w:t>：南向资金全日净卖出35.69亿元（港股通口径），为大幅净流出，按反向信号理解，内资有回流A股倾向，偏多A股情绪；外部联动方面，恒生科技+1.16%、恒生指数+0.52%、离岸人民币升值0.06%，外部方向一致看多（共识得分5.7，置信度强）。南向净卖出+外部看多组合，理论偏多，但今日内盘指数分化、个股普跌，量价未同步验证，需以实际盘面为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大单资金流（新浪30股样本）</w:t>
      </w:r>
      <w:r>
        <w:rPr>
          <w:rFonts w:ascii="微软雅黑" w:hAnsi="微软雅黑" w:eastAsia="微软雅黑"/>
          <w:color w:val="1A1A1A"/>
          <w:sz w:val="22"/>
        </w:rPr>
        <w:t>：大单净流入23.29亿元，19只流入/11只流出，大资金有回补迹象，但样本有限，方向参考性一般。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领涨方向</w:t>
      </w:r>
      <w:r>
        <w:rPr>
          <w:rFonts w:ascii="微软雅黑" w:hAnsi="微软雅黑" w:eastAsia="微软雅黑"/>
          <w:color w:val="1A1A1A"/>
          <w:sz w:val="22"/>
        </w:rPr>
        <w:t>：陶瓷行业+1.37%、船舶制造+0.26%、次新股+0.22%、飞机制造+0.22%、汽车制造+0.20%、发电设备+0.18%、家电+0.16%、金融+0.10%。板块涨跌幅普遍偏小，缺乏主线合力，但个股层面出现多条活跃线：汽车产业链（保隆科技、天普股份、金龙汽车、双环传动、万丰奥威等）、军工（航材股份、金盾股份、长春一东）、机器人/自动化（宇树科技、步科股份、兆威机电）、PCB/覆铜板（四会富仕、澳弘电子、协和电子、天津普林）等成为涨停集中营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：酒店旅游-0.29%、物资外贸-0.17%、农林牧渔-0.16%、玻璃行业-0.15%、电子器件-0.11%、房地产-0.09%、传媒娱乐-0.09%、化工-0.07%、有色金属-0.06%。科技成长中电子器件走弱，半导体设备板块重挫（拓荆科技-13.88%、中科飞测-10.36%）是科创50大跌的主要拖累；北交所小盘股退潮（南方乳业-25.80%、莫森泰克-14.57%、路桥信息-11.24%），显示高风险偏好资金加速撤离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驱动逻辑</w:t>
      </w:r>
      <w:r>
        <w:rPr>
          <w:rFonts w:ascii="微软雅黑" w:hAnsi="微软雅黑" w:eastAsia="微软雅黑"/>
          <w:color w:val="1A1A1A"/>
          <w:sz w:val="22"/>
        </w:rPr>
        <w:t>：汽车链受益于智能化/零部件放量预期；军工受国防需求催化；机器人/PCB则延续主题轮动。杀跌方向主要是前期涨幅较大的半导体设备、高估值北交所小票及部分消费股，反映资金从高位品种向低位权重调仓。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数据源未提供完整MA/MACD/RSI/KDJ数值，以下基于收盘价与量价关系做定性推演：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：收3731.88点，日线高开高走收阳，短期趋势未破，位于3700-3750区间上沿，量能未明显放大，上行力度有限。若后续不能放量突破3750一线，易形成高位震荡。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：微涨0.14%，日内波动较小，上方压力较重，动能弱于上证，短线需要补量确认。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：开盘2760.35，收盘2746.89，高开低走收阴，失守开盘价，显示成长股抛压。短期关注2700-2750支撑带，若跌破则技术形态转弱。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：大跌2.20%，开盘1347.09，收盘1328.74，领跌主要指数，显示半导体权重股高位兑现。MACD红柱大概率缩短，RSI可能从超买回落，短线关注1300点整数关口支撑。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5. 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：上涨家数占比39.3%，低于50%荣枯线，与指数上涨明显背离，说明权重拉指数但多数个股调整，典型的结构性行情。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：上证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