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3926.76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14289.44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3586.04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1717.75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4663.70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7967.92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外盘纳指+0.81%与A股指数近乎横盘的背离，开盘方向看高开但持续性存疑。隔夜纳斯达克上涨0.81%主要修复科技成长风险偏好，但富时A50期货数据缺失，无法直接确认外资对A股盘前的方向指向；结合昨日A股指数较上一时段全线收窄跌幅或转涨（上证-0.01%，较上一时段+0.49pp；深成指+0.00%，较上一时段+0.87pp），今日开盘或有小幅高开动能，但需警惕科技映射下的高开低走，因昨日领涨板块已完全替换为玻璃、传媒娱乐、船舶制造等低位/题材方向，并非科技主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较昨日同期各指数涨跌幅几乎为零，属于横盘延续；但较上一时段的边际变化显示跌势减弱、反弹加速，说明内生动能正在修复，而非趋势反转确认。纳指强于A股的格局下，外资监测中缺乏北向净买入方向数据，仅能以活跃度与外部联动推断：若A50缺席、恒生科技未同步，则今日更多是内资对低位板块的博弈，指数级别弹性有限，需警惕高开后的量能承接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板块快速轮动+指数横盘，今日重点不是方向而是宽度和量能验证。昨日领涨板块完全替换（玻璃行业、传媒娱乐、船舶制造接替酿酒、医疗器械、陶瓷），结合上证较上一时段+0.49pp但绝对涨幅-0.01%，属于典型存量博弈下的高低切换，追高风险大；需关注今日成交额是否重回万亿以上，若缩量则轮动失效，若放量需观察是否出现新的持续性主线。关键位置：上证若无法站上昨收且量能未放大，横盘将延续；创业板较上一时段+0.45pp加速但绝对涨幅0.00%，说明弹性资金在科技与题材间犹豫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宏观面看，7月CPI同比0.5%、PPI同比3.5%双双回落，PMI 49.2/49.3跌破荣枯线，显示需求偏弱但输入性通胀压力仍存；M2同比8.0%与LPR连续14个月不变，流动性中性略偏松但信贷需求不足。今日关注有色矿采选业是否受PPI高增驱动延续，以及暑期出行相关服务板块是否在CPI数据后有所反应；同时注意船舶制造等新领涨板块的持续性，玻璃行业可能受保交楼/竣工链情绪带动但需防预期透支。风险点在于板块快速轮动后市场宽度收窄，若涨跌比低于1:1且成交额萎缩，指数横久必跌，需重点规避高位连板股的退潮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