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2026-08-07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3928.54</w:t>
            </w:r>
          </w:p>
        </w:tc>
        <w:tc>
          <w:tcPr>
            <w:tcW w:type="dxa" w:w="2160"/>
          </w:tcPr>
          <w:p>
            <w:r>
              <w:t>+0.72%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14313.03</w:t>
            </w:r>
          </w:p>
        </w:tc>
        <w:tc>
          <w:tcPr>
            <w:tcW w:type="dxa" w:w="2160"/>
          </w:tcPr>
          <w:p>
            <w:r>
              <w:t>+1.44%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3573.90</w:t>
            </w:r>
          </w:p>
        </w:tc>
        <w:tc>
          <w:tcPr>
            <w:tcW w:type="dxa" w:w="2160"/>
          </w:tcPr>
          <w:p>
            <w:r>
              <w:t>+1.66%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1732.62</w:t>
            </w:r>
          </w:p>
        </w:tc>
        <w:tc>
          <w:tcPr>
            <w:tcW w:type="dxa" w:w="2160"/>
          </w:tcPr>
          <w:p>
            <w:r>
              <w:t>+1.84%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4692.24</w:t>
            </w:r>
          </w:p>
        </w:tc>
        <w:tc>
          <w:tcPr>
            <w:tcW w:type="dxa" w:w="2160"/>
          </w:tcPr>
          <w:p>
            <w:r>
              <w:t>+0.88%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7950.06</w:t>
            </w:r>
          </w:p>
        </w:tc>
        <w:tc>
          <w:tcPr>
            <w:tcW w:type="dxa" w:w="2160"/>
          </w:tcPr>
          <w:p>
            <w:r>
              <w:t>+1.54%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25600 亿（高活跃度）</w:t>
      </w:r>
    </w:p>
    <w:p>
      <w:r>
        <w:t xml:space="preserve">  沪/深偏好：沪市 42%（偏成长进攻）</w:t>
      </w:r>
    </w:p>
    <w:p>
      <w:r>
        <w:t xml:space="preserve">  南向资金：净卖出 5.9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-48.06 亿  |  大单净 -50.51 亿  |  涨家 12 / 跌家 18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1.0%  |  PPI 4.1%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模块一：边际速览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</w:t>
      </w:r>
      <w:r>
        <w:rPr>
          <w:rFonts w:ascii="微软雅黑" w:hAnsi="微软雅黑" w:eastAsia="微软雅黑"/>
          <w:b/>
          <w:color w:val="D29922"/>
          <w:sz w:val="22"/>
        </w:rPr>
        <w:t>科创50与中证500午后加速上攻，但涨跌比反向收窄至50.7%</w:t>
      </w:r>
      <w:r>
        <w:rPr>
          <w:rFonts w:ascii="微软雅黑" w:hAnsi="微软雅黑" w:eastAsia="微软雅黑"/>
          <w:color w:val="1A1A1A"/>
          <w:sz w:val="22"/>
        </w:rPr>
        <w:t>，个股分化加剧。较上午收盘，科创50涨幅扩大0.79pp至1.84%，中证500扩大0.38pp，而上证50与沪深300几乎停滞，资金从均衡转向“科技+中小盘”的局部攻击。成交额较午间放量27.5%至21,379亿，增量资金入场明确但并未普涨，涨跌比仅50.7%（较午间变化极小），显示资金高度集中在小范围题材而非全面扩散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模块二：量价结构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权重并未产生虹吸效应，但题材热度远超广谱个股。沪深300成交额约6,180亿，占两市总成交额21,379亿的29%，远低于70%的虹吸阈值。资金动能核心集中在科创板与中证500所代表的“硬科技+中小市值”赛道。领涨板块中，次新股（+2.66%）受N展芯（首日大涨407%）带动情绪，生物制药、医疗器械、电子器件分别上涨0.38%、0.33%、0.77%，形成清晰“CXO+半导体”的科技主线。反面，金融（-0.06%）、交通运输（-0.06%）、酿酒（-0.04%）等传统蓝筹拖后腿，资金在做明确的“大票→小票，价值→成长”的切换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模块四：内外联动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外资偏好判断：</w:t>
      </w:r>
      <w:r>
        <w:rPr>
          <w:rFonts w:ascii="微软雅黑" w:hAnsi="微软雅黑" w:eastAsia="微软雅黑"/>
          <w:color w:val="1A1A1A"/>
          <w:sz w:val="22"/>
        </w:rPr>
        <w:t>沪市成交占比41.6%，落入“偏成长进攻”区间（</w:t>
      </w:r>
      <w:r>
        <w:rPr>
          <w:rFonts w:ascii="微软雅黑" w:hAnsi="微软雅黑" w:eastAsia="微软雅黑"/>
          <w:color w:val="1A1A1A"/>
          <w:sz w:val="22"/>
        </w:rPr>
        <w:t>&lt;</w:t>
      </w:r>
      <w:r>
        <w:rPr>
          <w:rFonts w:ascii="微软雅黑" w:hAnsi="微软雅黑" w:eastAsia="微软雅黑"/>
          <w:color w:val="1A1A1A"/>
          <w:sz w:val="22"/>
        </w:rPr>
        <w:t>45%），外资通过深股通持续加码科技股，与今日科创50领涨完全吻合。北向成交总额25,600亿元维持高活跃度，但需警惕python预判的“外部共识分歧（score +0.9，置信度低）”——恒生科技微涨0.26%、离岸人民币小幅升值0.03%，两者幅度均不足0.3%属微弱信号，参考意义有限。当前外资逻辑以内生动力为主：国内市场对“国产替代”与“AI落地”的交易热情，吸引了外资顺势配置，而非被动跟随海外市场。南向资金净卖出5.9亿，属小幅净流出，未构成资金南下避险的负面信号，与“内外资齐聚A股”的偏多框架一致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模块五：持续性评估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市场宽度从昨日的57%收缩至51%，变窄6个百分点，说明今日上涨真实但普惠性下降，资金选择性极强——这对非主线个股意味着“赚了指数不赚钱”。昨日涨停溢价率暂缺，无法判断超短情绪持续性。结构上，若明日“生物制药、电子器件”两大主线出现高开回落，将确认本轮为事件驱动脉冲（CXO订单预期+AI消费电子催化），强度约可持续2-3日；若低开后迅速反包，则确认增量资金志在趋势行情，结构会向更广的科技板块扩散。当前处于方向选择窗口，明日开盘15分钟的走向将决定持续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模块六：红黄绿灯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🔴</w:t>
      </w:r>
      <w:r>
        <w:rPr>
          <w:rFonts w:ascii="微软雅黑" w:hAnsi="微软雅黑" w:eastAsia="微软雅黑"/>
          <w:b/>
          <w:color w:val="D29922"/>
          <w:sz w:val="22"/>
        </w:rPr>
        <w:t>红灯</w:t>
      </w:r>
      <w:r>
        <w:rPr>
          <w:rFonts w:ascii="微软雅黑" w:hAnsi="微软雅黑" w:eastAsia="微软雅黑"/>
          <w:color w:val="1A1A1A"/>
          <w:sz w:val="22"/>
        </w:rPr>
        <w:t>：暂无触发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🟡</w:t>
      </w:r>
      <w:r>
        <w:rPr>
          <w:rFonts w:ascii="微软雅黑" w:hAnsi="微软雅黑" w:eastAsia="微软雅黑"/>
          <w:b/>
          <w:color w:val="D29922"/>
          <w:sz w:val="22"/>
        </w:rPr>
        <w:t>黄灯</w:t>
      </w:r>
      <w:r>
        <w:rPr>
          <w:rFonts w:ascii="微软雅黑" w:hAnsi="微软雅黑" w:eastAsia="微软雅黑"/>
          <w:color w:val="1A1A1A"/>
          <w:sz w:val="22"/>
        </w:rPr>
        <w:t>（观望信号）：涨跌比51%处于多空平衡区，市场方向分歧显著，部分个股已现滞涨或回调。板块轮动加速，金融、酿酒承压，表明蓝筹缺乏上涨合力，追高非主线板块易被套。外部联动信号微弱，缺少全球共振依据，行情的内生稳定性待检验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🟢</w:t>
      </w:r>
      <w:r>
        <w:rPr>
          <w:rFonts w:ascii="微软雅黑" w:hAnsi="微软雅黑" w:eastAsia="微软雅黑"/>
          <w:b/>
          <w:color w:val="D29922"/>
          <w:sz w:val="22"/>
        </w:rPr>
        <w:t>绿灯</w:t>
      </w:r>
      <w:r>
        <w:rPr>
          <w:rFonts w:ascii="微软雅黑" w:hAnsi="微软雅黑" w:eastAsia="微软雅黑"/>
          <w:color w:val="1A1A1A"/>
          <w:sz w:val="22"/>
        </w:rPr>
        <w:t>（进攻信号）：北向高活跃（25,600亿）+南向净卖出5.9亿，内外资合力做多A股的结构完好。沪/深成交41.6%确认外资偏好成长，科创50、中证500放量上攻有资金面支撑。可轻仓参与“CRO+半导体材料”主线，止损设于早盘低点，观察明日主线能否“低开不破位”以确认趋势强度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