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2026-09-09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3940.42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13703.21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3359.72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1590.96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4558.59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7770.56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跌0.32%，跌幅温和但延续近期科技权重走弱格局，对A股开盘构成轻度情绪压制而非系统性冲击。昨夜A50期货数据缺失，无法直接给出外资夜盘定价参考；从纳指表现推断，今日A股科技成长板块开盘大概率承接谨慎情绪，创业板指和科创50昨日虽呈“加速上涨”形态，但隔夜外部变量偏空，需重点观察开盘30分钟量能是否承接昨日动能——若缩量即意味着加速态势无法延续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关键传导链条在人民币与港股科技：纳指疲弱通常联动恒生科技低开，若恒生科技早盘跌幅超过纳指幅度，则反映内资风险偏好同样收缩，A股科技成长将缺乏共振支撑。本时段核心变化是**隔夜信号从“增量risk-on”转向“温和risk-off”，为昨日的创业板/科创50加速上涨进行压力测试**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尾盘呈现典型的结构性分化：创业板指和科创50较上一时段分别+1.13pp和+1.49pp加速上涨，但上证指数和中证500横盘延续。这种“宽基分化+板块完全轮换”——领涨板块从农药化肥、飞机制造、石油行业一日内更换为船舶制造、传媒娱乐、玻璃行业——是短期资金追逐event-driven而非趋势主线的典型特征，持续性存疑。板块轮动完全替换的异常信号意味着今日开盘存在“领涨板块无溢价、隔日亏钱效应”的风险，若玻璃、传媒等新热无法在高开缺口上放量站稳，则市场将回归权重护盘的防御结构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层面，7月CPI同比0.5%（前值1.0%）、PPI同比3.5%（前值4.1%）同步回落，PMI制造业49.2处于荣枯线下，三者叠加说明**实体需求走弱的信号正在从生产端向价格端扩散**。M2同比8.0%尚可但M1仅4.0%，表明企业活期资金活性不足；叠加LPR连续14个月不变、商业银行净息差压至1.4%历史低位，流动性边际宽松的想象空间已经被银行端利润约束所压制。对量化择时而言，当前处于“指数不跌+赚钱效应差+宏观数据偏弱”的存量震荡区间，不宜追涨快速轮动板块，重点观察：①中证500能否放量突破昨日横盘平台，若继续缩量则中小盘回调风险累积；②宏观弱数据下高股息（电力、公用事业）与外资偏好的核心资产是否存在跷跷板回流；③PMI连续低于荣枯线背景下，今日是否出现对政策刺激的博弈性交易。风险上，纳斯达克若今夜续跌、叠加南向资金大幅净买入（A股情绪反向指标），则内资风险偏好承受双重压力，中小盘高位标的需防急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