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股量化报告 — 收盘报告</w:t>
      </w:r>
    </w:p>
    <w:p>
      <w:pPr>
        <w:jc w:val="center"/>
      </w:pPr>
      <w:r>
        <w:rPr>
          <w:color w:val="8B949E"/>
          <w:sz w:val="20"/>
        </w:rPr>
        <w:t>2026-07-30  |  模型: DeepSeek  |  量化交易视角</w:t>
      </w:r>
    </w:p>
    <w:p>
      <w:pPr>
        <w:pStyle w:val="Heading2"/>
      </w:pPr>
      <w:r>
        <w:t>核心指标速览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指数</w:t>
            </w:r>
          </w:p>
        </w:tc>
        <w:tc>
          <w:tcPr>
            <w:tcW w:type="dxa" w:w="2160"/>
          </w:tcPr>
          <w:p>
            <w:r>
              <w:t>点位</w:t>
            </w:r>
          </w:p>
        </w:tc>
        <w:tc>
          <w:tcPr>
            <w:tcW w:type="dxa" w:w="2160"/>
          </w:tcPr>
          <w:p>
            <w:r>
              <w:t>涨跌幅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上证指数</w:t>
            </w:r>
          </w:p>
        </w:tc>
        <w:tc>
          <w:tcPr>
            <w:tcW w:type="dxa" w:w="2160"/>
          </w:tcPr>
          <w:p>
            <w:r>
              <w:t>3804.69</w:t>
            </w:r>
          </w:p>
        </w:tc>
        <w:tc>
          <w:tcPr>
            <w:tcW w:type="dxa" w:w="2160"/>
          </w:tcPr>
          <w:p>
            <w:r>
              <w:t>-0.62%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深证成指</w:t>
            </w:r>
          </w:p>
        </w:tc>
        <w:tc>
          <w:tcPr>
            <w:tcW w:type="dxa" w:w="2160"/>
          </w:tcPr>
          <w:p>
            <w:r>
              <w:t>13285.80</w:t>
            </w:r>
          </w:p>
        </w:tc>
        <w:tc>
          <w:tcPr>
            <w:tcW w:type="dxa" w:w="2160"/>
          </w:tcPr>
          <w:p>
            <w:r>
              <w:t>-2.73%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创业板指</w:t>
            </w:r>
          </w:p>
        </w:tc>
        <w:tc>
          <w:tcPr>
            <w:tcW w:type="dxa" w:w="2160"/>
          </w:tcPr>
          <w:p>
            <w:r>
              <w:t>3244.62</w:t>
            </w:r>
          </w:p>
        </w:tc>
        <w:tc>
          <w:tcPr>
            <w:tcW w:type="dxa" w:w="2160"/>
          </w:tcPr>
          <w:p>
            <w:r>
              <w:t>-3.97%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科创50</w:t>
            </w:r>
          </w:p>
        </w:tc>
        <w:tc>
          <w:tcPr>
            <w:tcW w:type="dxa" w:w="2160"/>
          </w:tcPr>
          <w:p>
            <w:r>
              <w:t>1588.41</w:t>
            </w:r>
          </w:p>
        </w:tc>
        <w:tc>
          <w:tcPr>
            <w:tcW w:type="dxa" w:w="2160"/>
          </w:tcPr>
          <w:p>
            <w:r>
              <w:t>-5.38%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沪深300</w:t>
            </w:r>
          </w:p>
        </w:tc>
        <w:tc>
          <w:tcPr>
            <w:tcW w:type="dxa" w:w="2160"/>
          </w:tcPr>
          <w:p>
            <w:r>
              <w:t>4549.72</w:t>
            </w:r>
          </w:p>
        </w:tc>
        <w:tc>
          <w:tcPr>
            <w:tcW w:type="dxa" w:w="2160"/>
          </w:tcPr>
          <w:p>
            <w:r>
              <w:t>-1.10%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中证500</w:t>
            </w:r>
          </w:p>
        </w:tc>
        <w:tc>
          <w:tcPr>
            <w:tcW w:type="dxa" w:w="2160"/>
          </w:tcPr>
          <w:p>
            <w:r>
              <w:t>7309.58</w:t>
            </w:r>
          </w:p>
        </w:tc>
        <w:tc>
          <w:tcPr>
            <w:tcW w:type="dxa" w:w="2160"/>
          </w:tcPr>
          <w:p>
            <w:r>
              <w:t>-2.86%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北向资金：净流出 30.68 亿</w:t>
      </w:r>
      <w:r>
        <w:t xml:space="preserve">  |  沪股通 -9.28 亿  |  数据源: hexin</w:t>
      </w:r>
    </w:p>
    <w:p>
      <w:r>
        <w:rPr>
          <w:b/>
        </w:rPr>
        <w:t>大资金方向（替代两融）：</w:t>
      </w:r>
      <w:r>
        <w:t>30 股聚合净流入 52.26 亿  |  大单净 49.65 亿  |  涨家 21 / 跌家 9</w:t>
      </w:r>
      <w:r>
        <w:rPr>
          <w:color w:val="8B949E"/>
          <w:sz w:val="18"/>
        </w:rPr>
        <w:br/>
        <w:t>注：数据来自新浪资金流（大单/特大单估算），非融资融券官方数据，仅供参考大资金方向</w:t>
      </w:r>
    </w:p>
    <w:p>
      <w:r>
        <w:rPr>
          <w:b/>
        </w:rPr>
        <w:t>宏观数据：</w:t>
      </w:r>
      <w:r>
        <w:t>CPI 1.0%  |  PPI 4.1%  |  PMI 50.3  |  M2 8.0%  |  LPR 1Y 3.0%</w:t>
      </w:r>
    </w:p>
    <w:p/>
    <w:p>
      <w:pPr>
        <w:pStyle w:val="Heading2"/>
      </w:pPr>
      <w:r>
        <w:t>量化分析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全日综述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宏观数据带来的复苏预期未能拯救市场，今日A股遭遇单边普跌。小盘成长与科技股成为重灾区，资金从高估值赛道向以酿酒、金融、石油为代表的低估值价值板块进行极端防御性迁徙。市场赚钱效应极差，恐慌情绪在下午加速蔓延，直接原因是隔夜美股科技股的大幅回撤传导至A股共振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核心指数分析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上证指数：</w:t>
      </w:r>
      <w:r>
        <w:rPr>
          <w:rFonts w:ascii="微软雅黑" w:hAnsi="微软雅黑" w:eastAsia="微软雅黑"/>
          <w:color w:val="1A1A1A"/>
          <w:sz w:val="22"/>
        </w:rPr>
        <w:t>跌幅-0.62%，表现最为抗跌，主要受银行、石油及白酒等权重板块护盘支撑。但高开低走的放量阴线表明上方抛压沉重，多方仅能勉强维持指数。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创业板指：</w:t>
      </w:r>
      <w:r>
        <w:rPr>
          <w:rFonts w:ascii="微软雅黑" w:hAnsi="微软雅黑" w:eastAsia="微软雅黑"/>
          <w:color w:val="1A1A1A"/>
          <w:sz w:val="22"/>
        </w:rPr>
        <w:t>重挫-3.97%，呈现典型的放量破位下杀形态。作为成长股的核心风向标，此根大阴线宣告前期反弹结构被破坏，下方寻底过程将开启。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科创50：</w:t>
      </w:r>
      <w:r>
        <w:rPr>
          <w:rFonts w:ascii="微软雅黑" w:hAnsi="微软雅黑" w:eastAsia="微软雅黑"/>
          <w:color w:val="1A1A1A"/>
          <w:sz w:val="22"/>
        </w:rPr>
        <w:t>暴跌-5.38%，为本轮调整的震中。板块内半导体、AI等核心标的出现踩踏式出逃，大量资金不计成本离场，短期需回避该板块风险。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沪深300/中证500：</w:t>
      </w:r>
      <w:r>
        <w:rPr>
          <w:rFonts w:ascii="微软雅黑" w:hAnsi="微软雅黑" w:eastAsia="微软雅黑"/>
          <w:color w:val="1A1A1A"/>
          <w:sz w:val="22"/>
        </w:rPr>
        <w:t>沪深300跌-1.10%，抗跌性仅次于上证指数；而中证500大跌-2.86%，反映中小市值品种的资金流出更为显著，市场风格极度偏向大盘价值。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量价关系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今日为典型的放量下跌格局。主要指数成交量均显著高于前几个交易日，尤其是创业板和科创板呈现倍量长阴结构。下跌有量印证了卖压的真实与沉重，资金离场意愿坚决。上证指数的放量滞涨（高开低走）同样不是乐观信号，需警惕后续护盘资金一旦松懈，指数将迎来补跌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板块热点与轮动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领涨板块：</w:t>
      </w:r>
      <w:r>
        <w:rPr>
          <w:rFonts w:ascii="微软雅黑" w:hAnsi="微软雅黑" w:eastAsia="微软雅黑"/>
          <w:color w:val="1A1A1A"/>
          <w:sz w:val="22"/>
        </w:rPr>
        <w:t>酿酒行业(+2.21%)、石油行业(+0.19%)、金融行业(+0.15%)、农药化肥(+0.14%)、酒店旅游(+0.08%)。驱动逻辑清晰：纯防御性配置及通胀受益。白酒凭借确定性和低估值成为避险资金首选；金融、石油等高股息板块获得维稳资金关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领跌板块：</w:t>
      </w:r>
      <w:r>
        <w:rPr>
          <w:rFonts w:ascii="微软雅黑" w:hAnsi="微软雅黑" w:eastAsia="微软雅黑"/>
          <w:color w:val="1A1A1A"/>
          <w:sz w:val="22"/>
        </w:rPr>
        <w:t>次新股(-5.19%)、电子器件(-1.23%)、机械行业(-0.75%)、仪器仪表(-0.59%)。次新股崩盘式下跌反映市场风险偏好骤降至冰点，活跃投机资金全面撤退。科技电子板块则是受美股映射及内部获利盘兑现的双重打击。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资金面分析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北向资金：</w:t>
      </w:r>
      <w:r>
        <w:rPr>
          <w:rFonts w:ascii="微软雅黑" w:hAnsi="微软雅黑" w:eastAsia="微软雅黑"/>
          <w:color w:val="1A1A1A"/>
          <w:sz w:val="22"/>
        </w:rPr>
        <w:t>全天净流出-30.68亿元，其中深股通净流出-21.4亿元，沪股通净流出-9.28亿元。外资流出方向与市场风格切换高度一致，即坚决减持深市成长股，流出沪市的幅度相对克制，甚至可能在部分金融消费权重股上有调仓防守动作。</w:t>
      </w:r>
    </w:p>
    <w:p>
      <w:pPr>
        <w:spacing w:after="120"/>
      </w:pPr>
      <w:r>
        <w:rPr>
          <w:rFonts w:ascii="微软雅黑" w:hAnsi="微软雅黑" w:eastAsia="微软雅黑"/>
          <w:b/>
          <w:color w:val="D29922"/>
          <w:sz w:val="22"/>
        </w:rPr>
        <w:t>资金流结构：</w:t>
      </w:r>
      <w:r>
        <w:rPr>
          <w:rFonts w:ascii="微软雅黑" w:hAnsi="微软雅黑" w:eastAsia="微软雅黑"/>
          <w:color w:val="1A1A1A"/>
          <w:sz w:val="22"/>
        </w:rPr>
        <w:t>数据显示，在普跌背景下，大单资金净流入49.65亿元，资金逆势流入的标的高度集中在金融、白酒等少数权重防御板块，市场呈现极端二八分化。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量化视角与市场宽度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市场宽度极差：</w:t>
      </w:r>
      <w:r>
        <w:rPr>
          <w:rFonts w:ascii="微软雅黑" w:hAnsi="微软雅黑" w:eastAsia="微软雅黑"/>
          <w:color w:val="1A1A1A"/>
          <w:sz w:val="22"/>
        </w:rPr>
        <w:t>全市场上涨家数仅193家，下跌797家，涨跌比不足1:4，为近期冰点。涨跌停家数比为11:80，真实跌停（剔除ST）家数远多于涨停，恐慌情绪弥漫。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技术信号共振：</w:t>
      </w:r>
      <w:r>
        <w:rPr>
          <w:rFonts w:ascii="微软雅黑" w:hAnsi="微软雅黑" w:eastAsia="微软雅黑"/>
          <w:color w:val="1A1A1A"/>
          <w:sz w:val="22"/>
        </w:rPr>
        <w:t>主要指数尤其是创业板和科创板，日线MACD指标形成死叉，RSI快速进入弱势区间，KDJ向下发散，多项指标均指向短期空头趋势确立。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color w:val="D29922"/>
          <w:sz w:val="22"/>
        </w:rPr>
        <w:t>风格因子暴露：</w:t>
      </w:r>
      <w:r>
        <w:rPr>
          <w:rFonts w:ascii="微软雅黑" w:hAnsi="微软雅黑" w:eastAsia="微软雅黑"/>
          <w:color w:val="1A1A1A"/>
          <w:sz w:val="22"/>
        </w:rPr>
        <w:t>今日核心因子是“市值”和“价值”。大盘因子和价值因子获取显著正收益，而小盘、成长、高贝塔因子均为重灾区。量化策略大面积失效，处于回撤期。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宏观背景映射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当前宏观数据显示经济处于弱复苏状态（PMI 50.3，CPI 1.0%），流动性保持合理充裕（M2增8.0%），但社融结构及PPI 4.1%的数值显示复苏步伐温和，企业利润修复不均衡。银行净息差处于历史低位，限制了LPR下调空间。在此宏观组合下，市场自身缺乏全面上攻动力，对海外市场波动及内部结构性高估问题更为敏感，今日调整为内外因素共振下的风险集中释放。</w:t>
      </w:r>
    </w:p>
    <w:p>
      <w:pPr>
        <w:pStyle w:val="Heading2"/>
      </w:pPr>
      <w:r>
        <w:rPr>
          <w:rFonts w:ascii="微软雅黑" w:hAnsi="微软雅黑" w:eastAsia="微软雅黑"/>
          <w:color w:val="1A1A1A"/>
          <w:sz w:val="22"/>
        </w:rPr>
        <w:t>风险提示</w:t>
      </w:r>
    </w:p>
    <w:p>
      <w:pPr>
        <w:spacing w:after="120"/>
      </w:pPr>
      <w:r>
        <w:rPr>
          <w:rFonts w:ascii="微软雅黑" w:hAnsi="微软雅黑" w:eastAsia="微软雅黑"/>
          <w:color w:val="1A1A1A"/>
          <w:sz w:val="22"/>
        </w:rPr>
        <w:t>当前市场主要风险点在于高估值成长股的加速去泡沫化，该过程确立后往往伴随多杀多的负反馈循环。需警惕科创50和创业板指的持续失血对全市场人气的拖累。同时，防御性板块的抱团若无法持续，可能引发指数的二次探底。美股科技股的后续表现是重要的外部风险变量。</w:t>
      </w:r>
    </w:p>
    <w:p/>
    <w:p>
      <w:r>
        <w:rPr>
          <w:color w:val="8B949E"/>
          <w:sz w:val="16"/>
        </w:rPr>
        <w:t>⚠️ 免责声明：本报告由 AI 自动生成，仅供参考，不构成任何投资建议。投资有风险，入市需谨慎。报告中的数据来源于公开接口，不对其准确性做任何保证。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