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2026-08-19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3990.29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14622.50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3705.56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1790.87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4725.18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8177.15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本时段核心变化是：纳斯达克隔夜单日大跌 1.33%，而 A 股盘前指数较昨日同期几乎零波动（上证 -0.00%、沪深300 -0.01%），内外盘短期联动性出现背离。较上一时段来看，A 股指数未跟随美股走弱，但这一横盘状态属于动能衰竭而非动能加速——若外围风险发酵，低开概率大于高开。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富时 A50 期货数据在本次输入中缺失，无法直接锚定外资对 A 股开盘的指向。结合纳斯达克疲弱的传导路径，科技成长板块（科创50、创业板指）今日面临的外部压力大于权重蓝筹。南向资金数据亦缺失，无法据此判断内资情绪方向，建议以开盘后前 30 分钟量价作为首要参考。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核心提示：外部联动偏空（纳指 -1.33%），但内盘指数横盘未动，属于典型的分歧前置信号。若开盘跳空低开后迅速回补缺口，则内盘韧性确认；若低开后量能持续萎缩且无法收复均价线，则需警惕趋势反转由横盘转为下行。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本时段核心变化是：指数连续横盘但美股大幅走弱，叠加 PMI 双破荣枯线（制造业 49.2 / 服务业 49.3）和 CPI 同比回落至 0.5% 的通缩压力背景，市场风险偏好面临外部与宏观数据的双重挤压。较昨日同期而言，沪深300 继续以 -0.01% 的边际走弱垫底，权重股上攻乏力，注意其是否率先跌破横盘箱体下沿。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从量化视角看，横盘期间最需关注市场宽度是否同步萎缩。今日应重点监测：涨跌家数比是否跌破 0.7、量能较昨日同期是否同比放大 15% 以上（若下跌放量则为弱势确认）、科创50 相对上证是否出现 &gt;1% 的超额跌幅（科技线情绪受损的领先信号）。板块方面，PPI 回落至 3.5%，周期资源股（有色、石油链）面临盈利预期下修；高股息防御品种（银行、公用事业）在净息差 1.4% 历史低位下，绝对收益吸引力与资产质量担忧并存；7 月高技术制造业 PMI 53.3% 逆势扩张，若科技股因纳指拖累错杀，可关注半导体、高端装备的超跌弹性。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风险点排序：① 关键位置失守风险——上证若在开盘一小时内跌破昨日同期横盘中枢并伴随量能放大，需警惕系统性的减仓行为；② 板块快速轮动风险——当前市场缺乏明确主线，热点持续性可能进一步缩短，追高风险大；③ 宏观数据与政策预期的错位——LPR 连续 14 个月不变，社融同比少增 8,606 亿元，流动性实质宽松空间受限，若今日无增量政策信号，指数难以展开有效反弹。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