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2026-08-26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3913.69</w:t>
            </w:r>
          </w:p>
        </w:tc>
        <w:tc>
          <w:tcPr>
            <w:tcW w:type="dxa" w:w="2160"/>
          </w:tcPr>
          <w:p>
            <w:r>
              <w:t>+0.62%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13848.27</w:t>
            </w:r>
          </w:p>
        </w:tc>
        <w:tc>
          <w:tcPr>
            <w:tcW w:type="dxa" w:w="2160"/>
          </w:tcPr>
          <w:p>
            <w:r>
              <w:t>+0.74%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3423.10</w:t>
            </w:r>
          </w:p>
        </w:tc>
        <w:tc>
          <w:tcPr>
            <w:tcW w:type="dxa" w:w="2160"/>
          </w:tcPr>
          <w:p>
            <w:r>
              <w:t>+0.75%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1631.04</w:t>
            </w:r>
          </w:p>
        </w:tc>
        <w:tc>
          <w:tcPr>
            <w:tcW w:type="dxa" w:w="2160"/>
          </w:tcPr>
          <w:p>
            <w:r>
              <w:t>+1.65%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4595.03</w:t>
            </w:r>
          </w:p>
        </w:tc>
        <w:tc>
          <w:tcPr>
            <w:tcW w:type="dxa" w:w="2160"/>
          </w:tcPr>
          <w:p>
            <w:r>
              <w:t>+0.94%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7771.01</w:t>
            </w:r>
          </w:p>
        </w:tc>
        <w:tc>
          <w:tcPr>
            <w:tcW w:type="dxa" w:w="2160"/>
          </w:tcPr>
          <w:p>
            <w:r>
              <w:t>+0.78%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17.5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7.29 亿  |  大单净 6.17 亿  |  涨家 18 / 跌家 12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指数涨幅较上一时段全面收窄，呈现动能衰竭迹象，但日线级别仍较昨日同期加速。具体看：创业板指较上一时段-0.64pp至+0.75%，科创50较上一时段-0.53pp至+1.65%，深成指-0.47pp，中证500-0.49pp，几乎全线"涨速降档"，仅沪深300（-0.14pp）和上证（-0.09pp）表现出横盘韧性。量能方面：成交额14842亿，较上一时段+20.6%显著放量，量增价滞，说明午后虽有买盘介入，但指数上攻斜率趋平，抛压开始沉淀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市场宽度急剧收缩：上涨324家 vs 下跌667家，上涨占比仅32.4%，远离荣枯线。这较昨日同期宽度的收缩幅度极为显著，短线上涨的"广度基础"已经崩塌，与指数温和上涨形成背离。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权重股并未形成极端虹吸效应：沪深300成交3976.4亿，占两市总成交14842.4亿的26.8%，远低于70%的预警阈值，说明资金没有极端抱团大票。但要注意，上涨家数仅324家，资金在少数强势标的中的集中度仍在上升——涨停梯队里有色金属（江西铜业+10.01%、白银有色+10.03%、西部矿业+7.95%）和金融（锦龙股份+10.045%、湘财股份+10.025%）构成两条主线，其余题材零星跟风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板块轮动数据暴露情绪脆弱性：领涨的是次新股+1.43%，而领跌的陶瓷行业-0.58%、医疗器械-0.06%，昨日同期领涨的仪器仪表和生物制药已完全被替换，印证了板块快速轮动信号，这是典型的防御姿态下缺乏合力的表现。有色金属+0.26%、金融+0.28%的涨幅与涨停板上的资源股热潮形成反差，说明板块内部分化严重，仅龙头股享受流动性溢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Python预判2/3看多、一致性+4.8基本合理：恒生指数+0.87%、恒生科技+1.45%确实构成正面信号，离岸人民币+0.04%属微弱中性（幅度</w:t>
      </w:r>
      <w:r>
        <w:rPr>
          <w:rFonts w:ascii="微软雅黑" w:hAnsi="微软雅黑" w:eastAsia="微软雅黑"/>
          <w:color w:val="1A1A1A"/>
          <w:sz w:val="22"/>
        </w:rPr>
        <w:t>&lt;</w:t>
      </w:r>
      <w:r>
        <w:rPr>
          <w:rFonts w:ascii="微软雅黑" w:hAnsi="微软雅黑" w:eastAsia="微软雅黑"/>
          <w:color w:val="1A1A1A"/>
          <w:sz w:val="22"/>
        </w:rPr>
        <w:t>0.1%，按规则忽略）。但这份"外部偏多"的共识必须被南向资金数据挑战：南向净买入扩大至+17.5亿，较上一时段+6.4亿，较昨日同期+58.2亿，而且内部结构分裂——沪股通南向净卖出7.37亿，深股通南向净买入24.87亿。对照分析口诀：南向净买入扩大+外部联动看多=内外资方向背离，分歧加大，以内盘量价为准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内盘量价给出的信号是偏空的：放量滞涨+上涨占比仅32.4%。外部的恒生科技强势更可能是港股独立行情（如中概科技反弹），并非对A股的风险偏好传导。离岸人民币的贬值方向虽然微弱，但方向与恒生上涨背离，进一步削弱了外部信号的可信度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市场宽度已从昨日的高位区域快速恶化至偏空区间，实时上涨占比32.4%（324涨/667跌），涨停家数仅5家，跌停6家，涨停溢价率-0.4%意味着昨日涨停的股票今天中位数在亏钱，打板策略出现系统性负回报，短线情绪处于冰点边缘。这种宽度收缩与指数收红的组合，通常是权重护盘掩盖下的个股退潮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趋势定性：日内动能衰竭，属于上涨末端的"指数横盘、个股钝化"阶段。指数层面尚未破位（上证仍守住日内高位），但赚钱效应已显著恶化，追涨的胜率和赔率都在下降。行情若要持续，需要看到宽度修复（上涨家数回升至50%以上）或涨停梯队重新扩张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六、红黄绿灯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🔴</w:t>
      </w:r>
      <w:r>
        <w:rPr>
          <w:rFonts w:ascii="微软雅黑" w:hAnsi="微软雅黑" w:eastAsia="微软雅黑"/>
          <w:b/>
          <w:color w:val="D29922"/>
          <w:sz w:val="22"/>
        </w:rPr>
        <w:t>红灯</w:t>
      </w:r>
      <w:r>
        <w:rPr>
          <w:rFonts w:ascii="微软雅黑" w:hAnsi="微软雅黑" w:eastAsia="微软雅黑"/>
          <w:color w:val="1A1A1A"/>
          <w:sz w:val="22"/>
        </w:rPr>
        <w:t>：暂无触发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🟡</w:t>
      </w:r>
      <w:r>
        <w:rPr>
          <w:rFonts w:ascii="微软雅黑" w:hAnsi="微软雅黑" w:eastAsia="微软雅黑"/>
          <w:b/>
          <w:color w:val="D29922"/>
          <w:sz w:val="22"/>
        </w:rPr>
        <w:t>黄灯</w:t>
      </w:r>
      <w:r>
        <w:rPr>
          <w:rFonts w:ascii="微软雅黑" w:hAnsi="微软雅黑" w:eastAsia="微软雅黑"/>
          <w:color w:val="1A1A1A"/>
          <w:sz w:val="22"/>
        </w:rPr>
        <w:t>（观望信号）：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板块轮动加速，昨日领涨板块今日全部替换，主线不清晰，追涨易被套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涨停溢价率-0.4%转负，短线亏钱效应扩散，打板策略失效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南向资金净买入扩大至+17.5亿（较上一时段+6.4亿），内资南下分流，A股情绪偏弱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🟢</w:t>
      </w:r>
      <w:r>
        <w:rPr>
          <w:rFonts w:ascii="微软雅黑" w:hAnsi="微软雅黑" w:eastAsia="微软雅黑"/>
          <w:b/>
          <w:color w:val="D29922"/>
          <w:sz w:val="22"/>
        </w:rPr>
        <w:t>绿灯</w:t>
      </w:r>
      <w:r>
        <w:rPr>
          <w:rFonts w:ascii="微软雅黑" w:hAnsi="微软雅黑" w:eastAsia="微软雅黑"/>
          <w:color w:val="1A1A1A"/>
          <w:sz w:val="22"/>
        </w:rPr>
        <w:t>：暂无触发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