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3973.46</w:t>
            </w:r>
          </w:p>
        </w:tc>
        <w:tc>
          <w:tcPr>
            <w:tcW w:type="dxa" w:w="2160"/>
          </w:tcPr>
          <w:p>
            <w:r>
              <w:t>-0.23%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14576.07</w:t>
            </w:r>
          </w:p>
        </w:tc>
        <w:tc>
          <w:tcPr>
            <w:tcW w:type="dxa" w:w="2160"/>
          </w:tcPr>
          <w:p>
            <w:r>
              <w:t>-0.87%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3696.77</w:t>
            </w:r>
          </w:p>
        </w:tc>
        <w:tc>
          <w:tcPr>
            <w:tcW w:type="dxa" w:w="2160"/>
          </w:tcPr>
          <w:p>
            <w:r>
              <w:t>-1.16%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1771.95</w:t>
            </w:r>
          </w:p>
        </w:tc>
        <w:tc>
          <w:tcPr>
            <w:tcW w:type="dxa" w:w="2160"/>
          </w:tcPr>
          <w:p>
            <w:r>
              <w:t>-0.94%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4711.66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8136.77</w:t>
            </w:r>
          </w:p>
        </w:tc>
        <w:tc>
          <w:tcPr>
            <w:tcW w:type="dxa" w:w="2160"/>
          </w:tcPr>
          <w:p>
            <w:r>
              <w:t>-0.58%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52.7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6.0 亿  |  大单净 5.17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</w:t>
      </w:r>
      <w:r>
        <w:rPr>
          <w:rFonts w:ascii="微软雅黑" w:hAnsi="微软雅黑" w:eastAsia="微软雅黑"/>
          <w:color w:val="1A1A1A"/>
          <w:sz w:val="22"/>
        </w:rPr>
        <w:t>深市与创业板加速下跌、上涨家数仅175家，南向资金大幅净买入52.7亿与外部联动共振偏空，板块快速轮动至农业防御方向，市场进入放量分化杀跌阶段。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报3973.46点，跌0.23%，较上一时段横盘延续，权重相对抗跌；深证成指跌0.87%、创业板指跌1.16%、科创50跌0.94%、沪深300跌0.62%、中证500跌0.58%，均较上一时段加速下跌，尤以创业板、科创50中小盘抛压最重。开盘后一小时两市总成交约1.19万亿元，量能显著放大，呈现放量下跌特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：上涨175家 / 下跌822家 / 平盘3家，上涨比例仅17.5%，较上一时段明显恶化，市场宽度极弱，亏钱效应显著。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涨停跌停</w:t>
      </w:r>
      <w:r>
        <w:rPr>
          <w:rFonts w:ascii="微软雅黑" w:hAnsi="微软雅黑" w:eastAsia="微软雅黑"/>
          <w:color w:val="1A1A1A"/>
          <w:sz w:val="22"/>
        </w:rPr>
        <w:t>：涨停9家，跌停5家，涨停家数偏少且跌停增多，短线情绪接近冰点。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：港股通净买入52.74亿元，其中沪市净买入35.9亿、深市净买入16.84亿，较上一时段大幅净流入，构成A股情绪反向抑制。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 -1.91%、恒生指数 -0.77%，离岸人民币微幅贬值，外部共识评分 -4.8（偏空），较上一时段明显加强（-2.7→-4.8，Δ-2.1），内外资方向共振偏空。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</w:t>
      </w:r>
      <w:r>
        <w:rPr>
          <w:rFonts w:ascii="微软雅黑" w:hAnsi="微软雅黑" w:eastAsia="微软雅黑"/>
          <w:color w:val="1A1A1A"/>
          <w:sz w:val="22"/>
        </w:rPr>
        <w:t>：上证成交金额5661.8亿元（按两市合计1.19万亿），较昨日同期显著放量，价跌量增，抛压真实。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：次新股、农林牧渔、农药化肥、煤炭、食品、石油；领跌板块：飞机制造、电子信息、医疗器械、仪器仪表、机械、船舶制造。较上一时段，领涨板块完全替换（玻璃行业、传媒娱乐、船舶制造→次新股、农林牧渔、农药化肥），板块快速轮动特征明显。农林牧渔方向出现涨停潮，神农种业、康农种业、秋乐种业、登海种业、农发种业等批量涨停，驱动因素或与种业政策预期、粮食安全与部分品种涨价有关。但领涨板块缺乏持续主线，快速轮动反映市场风险偏好回落，短线资金以避险和博弈为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低开3979点后小幅回落至3973附近，盘中缺口未回补，短期均线空头压制，MACD绿柱走弱，RSI偏空；深证成指与创业板指跌破短期支撑，创业板指失守3700点后加速下探，技术形态进一步恶化；科创50、中证500同步走弱，中小盘指数抛压更重。整体走势属于</w:t>
      </w:r>
      <w:r>
        <w:rPr>
          <w:rFonts w:ascii="微软雅黑" w:hAnsi="微软雅黑" w:eastAsia="微软雅黑"/>
          <w:b/>
          <w:color w:val="D29922"/>
          <w:sz w:val="22"/>
        </w:rPr>
        <w:t>动能加速下跌</w:t>
      </w:r>
      <w:r>
        <w:rPr>
          <w:rFonts w:ascii="微软雅黑" w:hAnsi="微软雅黑" w:eastAsia="微软雅黑"/>
          <w:color w:val="1A1A1A"/>
          <w:sz w:val="22"/>
        </w:rPr>
        <w:t>，较上一时段深市加速明显，动能未见衰竭，未见趋势反转信号。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：上涨比例17.5%，处于近期极低水平，宽度指标进入超卖区域，但冰点尚未出现极端反转信号。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：放量下跌，量价配合偏空，说明抛压真实且承接不足；上证权重护盘与中小盘杀跌并存，分化加剧。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：昨日样本大单资金净流入仅5.17亿，今日南向净买入52.7亿，内资南下分流明显，A股存量博弈加剧，场外增量观望。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轮动速度</w:t>
      </w:r>
      <w:r>
        <w:rPr>
          <w:rFonts w:ascii="微软雅黑" w:hAnsi="微软雅黑" w:eastAsia="微软雅黑"/>
          <w:color w:val="1A1A1A"/>
          <w:sz w:val="22"/>
        </w:rPr>
        <w:t>：较上一时段领涨板块完全替换，轮动速度处于高位，历史上快速轮动多对应调整中继而非趋势反转。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7月CPI同比0.5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