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2026-09-09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3948.32</w:t>
            </w:r>
          </w:p>
        </w:tc>
        <w:tc>
          <w:tcPr>
            <w:tcW w:type="dxa" w:w="2160"/>
          </w:tcPr>
          <w:p>
            <w:r>
              <w:t>+0.20%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13738.32</w:t>
            </w:r>
          </w:p>
        </w:tc>
        <w:tc>
          <w:tcPr>
            <w:tcW w:type="dxa" w:w="2160"/>
          </w:tcPr>
          <w:p>
            <w:r>
              <w:t>+0.26%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3368.68</w:t>
            </w:r>
          </w:p>
        </w:tc>
        <w:tc>
          <w:tcPr>
            <w:tcW w:type="dxa" w:w="2160"/>
          </w:tcPr>
          <w:p>
            <w:r>
              <w:t>+0.27%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1589.10</w:t>
            </w:r>
          </w:p>
        </w:tc>
        <w:tc>
          <w:tcPr>
            <w:tcW w:type="dxa" w:w="2160"/>
          </w:tcPr>
          <w:p>
            <w:r>
              <w:t>-0.12%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4568.33</w:t>
            </w:r>
          </w:p>
        </w:tc>
        <w:tc>
          <w:tcPr>
            <w:tcW w:type="dxa" w:w="2160"/>
          </w:tcPr>
          <w:p>
            <w:r>
              <w:t>+0.21%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7781.41</w:t>
            </w:r>
          </w:p>
        </w:tc>
        <w:tc>
          <w:tcPr>
            <w:tcW w:type="dxa" w:w="2160"/>
          </w:tcPr>
          <w:p>
            <w:r>
              <w:t>+0.14%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21.3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-18.23 亿  |  大单净 -19.42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本时段核心变化是：指数表面平稳，内部结构快速弱化——板块领涨完全替换、科创50转跌、南向净买入扩大，量价与外部联动同步发出“动能衰竭”信号。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10:30时段指数维持“横盘微涨”的疲弱状态：上证+0.20%、深成指+0.26%、创业板指+0.27%，较09:25无实质变化，但较昨日同期涨幅全面收窄（创业板指-0.17pp、沪深300仅+0.01pp）。表面看是“权重护盘”，实则为涨跌比33.8%的弱势普跌结构。核心特征：指数靠权重扛住，题材和情绪在快速退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涨跌家数比：</w:t>
      </w:r>
      <w:r>
        <w:rPr>
          <w:rFonts w:ascii="微软雅黑" w:hAnsi="微软雅黑" w:eastAsia="微软雅黑"/>
          <w:color w:val="1A1A1A"/>
          <w:sz w:val="22"/>
        </w:rPr>
        <w:t>338涨 / 642跌 / 20平，</w:t>
      </w:r>
      <w:r>
        <w:rPr>
          <w:rFonts w:ascii="微软雅黑" w:hAnsi="微软雅黑" w:eastAsia="微软雅黑"/>
          <w:b/>
          <w:color w:val="D29922"/>
          <w:sz w:val="22"/>
        </w:rPr>
        <w:t>上涨比例仅33.8%</w:t>
      </w:r>
      <w:r>
        <w:rPr>
          <w:rFonts w:ascii="微软雅黑" w:hAnsi="微软雅黑" w:eastAsia="微软雅黑"/>
          <w:color w:val="1A1A1A"/>
          <w:sz w:val="22"/>
        </w:rPr>
        <w:t>，为弱势信号。涨停仅5家，跌停0家——跌停家数少意味着市场非恐慌性抛售，但涨停家数骤降反映赚钱效应快速收缩。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上证成交约4263.76亿元、深证约4770.24亿元，合计约9034亿元。按当前节奏推算，全日量能温和偏低，未出现放量突破或恐慌放量，属于“无量阴跌/横盘”的量价特征。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外资监测（南向+外部联动）：</w:t>
      </w:r>
      <w:r>
        <w:rPr>
          <w:rFonts w:ascii="微软雅黑" w:hAnsi="微软雅黑" w:eastAsia="微软雅黑"/>
          <w:color w:val="1A1A1A"/>
          <w:sz w:val="22"/>
        </w:rPr>
        <w:t>南向资金净买入</w:t>
      </w:r>
      <w:r>
        <w:rPr>
          <w:rFonts w:ascii="微软雅黑" w:hAnsi="微软雅黑" w:eastAsia="微软雅黑"/>
          <w:b/>
          <w:color w:val="D29922"/>
          <w:sz w:val="22"/>
        </w:rPr>
        <w:t>21.27亿元</w:t>
      </w:r>
      <w:r>
        <w:rPr>
          <w:rFonts w:ascii="微软雅黑" w:hAnsi="微软雅黑" w:eastAsia="微软雅黑"/>
          <w:color w:val="1A1A1A"/>
          <w:sz w:val="22"/>
        </w:rPr>
        <w:t>（沪9.33亿+深11.94亿），较上一时段边际放大，较昨日同期减少7.0亿。南向净买入扩大=内资持续流向港股，对A股构成情绪反向压制，但尚未达到30亿以上的强烈警示线。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资金流（新浪样本）：</w:t>
      </w:r>
      <w:r>
        <w:rPr>
          <w:rFonts w:ascii="微软雅黑" w:hAnsi="微软雅黑" w:eastAsia="微软雅黑"/>
          <w:color w:val="1A1A1A"/>
          <w:sz w:val="22"/>
        </w:rPr>
        <w:t>大单/特大单净额-19.42亿元，总量净额-18.23亿元，大资金持续净流出，与指数微涨形成</w:t>
      </w:r>
      <w:r>
        <w:rPr>
          <w:rFonts w:ascii="微软雅黑" w:hAnsi="微软雅黑" w:eastAsia="微软雅黑"/>
          <w:b/>
          <w:color w:val="D29922"/>
          <w:sz w:val="22"/>
        </w:rPr>
        <w:t>背离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⚠️ 板块快速轮动警报：</w:t>
      </w:r>
      <w:r>
        <w:rPr>
          <w:rFonts w:ascii="微软雅黑" w:hAnsi="微软雅黑" w:eastAsia="微软雅黑"/>
          <w:color w:val="1A1A1A"/>
          <w:sz w:val="22"/>
        </w:rPr>
        <w:t>领涨板块已完全替换——陶瓷行业(+0.85%)、开发区(+0.27%)、飞机制造(+0.23%)接替早盘的玻璃、船舶、传媒娱乐。这种“高低切、无延续性”的轮动模式，是短线资金无处聚焦的典型特征。领涨板块涨幅均未超过1%，缺乏主升板块；跌幅方面，次新股(-0.87%)、酿酒(-0.72%)、酒店旅游(-0.22%)、传媒娱乐(-0.17%)走弱。从资金聚集度看，电子器件、机械、有色金属等分散微涨，无明确主线。板块快速轮动+领涨完全替换，是本时段最强烈的转弱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3948.32点，+0.20%，位于开盘价上方窄幅运行。日线角度仍维持高位横盘，但MACD动能斜率趋平，KDJ钝化，短期缺乏向上突破量能配合。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科创50：</w:t>
      </w:r>
      <w:r>
        <w:rPr>
          <w:rFonts w:ascii="微软雅黑" w:hAnsi="微软雅黑" w:eastAsia="微软雅黑"/>
          <w:color w:val="1A1A1A"/>
          <w:sz w:val="22"/>
        </w:rPr>
        <w:t>转跌-0.12%，较昨日同期</w:t>
      </w:r>
      <w:r>
        <w:rPr>
          <w:rFonts w:ascii="微软雅黑" w:hAnsi="微软雅黑" w:eastAsia="微软雅黑"/>
          <w:b/>
          <w:color w:val="D29922"/>
          <w:sz w:val="22"/>
        </w:rPr>
        <w:t>-0.43pp，呈加速下跌信号</w:t>
      </w:r>
      <w:r>
        <w:rPr>
          <w:rFonts w:ascii="微软雅黑" w:hAnsi="微软雅黑" w:eastAsia="微软雅黑"/>
          <w:color w:val="1A1A1A"/>
          <w:sz w:val="22"/>
        </w:rPr>
        <w:t>。前期强势的科创进入补跌阶段，是本轮调整的先行指针。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中证500：</w:t>
      </w:r>
      <w:r>
        <w:rPr>
          <w:rFonts w:ascii="微软雅黑" w:hAnsi="微软雅黑" w:eastAsia="微软雅黑"/>
          <w:color w:val="1A1A1A"/>
          <w:sz w:val="22"/>
        </w:rPr>
        <w:t>+0.14%，较昨日同期涨幅大幅收窄-0.65pp，</w:t>
      </w:r>
      <w:r>
        <w:rPr>
          <w:rFonts w:ascii="微软雅黑" w:hAnsi="微软雅黑" w:eastAsia="微软雅黑"/>
          <w:b/>
          <w:color w:val="D29922"/>
          <w:sz w:val="22"/>
        </w:rPr>
        <w:t>涨势放缓</w:t>
      </w:r>
      <w:r>
        <w:rPr>
          <w:rFonts w:ascii="微软雅黑" w:hAnsi="微软雅黑" w:eastAsia="微软雅黑"/>
          <w:color w:val="1A1A1A"/>
          <w:sz w:val="22"/>
        </w:rPr>
        <w:t>。中证500代表二线蓝筹与成长中坚，涨势放缓意味着赚钱效应边际减弱。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关键位置推演（基于数据规律）：</w:t>
      </w:r>
      <w:r>
        <w:rPr>
          <w:rFonts w:ascii="微软雅黑" w:hAnsi="微软雅黑" w:eastAsia="微软雅黑"/>
          <w:color w:val="1A1A1A"/>
          <w:sz w:val="22"/>
        </w:rPr>
        <w:t>上证虽稳于3900-3950区间，但板块轮动快速、量能不足，短期维持“高位钝化、量能萎缩”的弱势整理，距离强阻力区（3960-3980）仅一步之遥但缺乏突破动能。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量价背离：</w:t>
      </w:r>
      <w:r>
        <w:rPr>
          <w:rFonts w:ascii="微软雅黑" w:hAnsi="微软雅黑" w:eastAsia="微软雅黑"/>
          <w:color w:val="1A1A1A"/>
          <w:sz w:val="22"/>
        </w:rPr>
        <w:t>指数涨（微涨）、个股普跌（跌642家）、大单净流出（-19.42亿），三者组合为典型</w:t>
      </w:r>
      <w:r>
        <w:rPr>
          <w:rFonts w:ascii="微软雅黑" w:hAnsi="微软雅黑" w:eastAsia="微软雅黑"/>
          <w:b/>
          <w:color w:val="D29922"/>
          <w:sz w:val="22"/>
        </w:rPr>
        <w:t>顶背离结构</w:t>
      </w:r>
      <w:r>
        <w:rPr>
          <w:rFonts w:ascii="微软雅黑" w:hAnsi="微软雅黑" w:eastAsia="微软雅黑"/>
          <w:color w:val="1A1A1A"/>
          <w:sz w:val="22"/>
        </w:rPr>
        <w:t>，量价不支持指数继续上行。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33.8%的上涨占比叠加仅5家涨停，市场宽度已收缩至弱势区间。虽然无跌停恐慌盘，但上涨动能衰减速度较快。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资金流向：</w:t>
      </w:r>
      <w:r>
        <w:rPr>
          <w:rFonts w:ascii="微软雅黑" w:hAnsi="微软雅黑" w:eastAsia="微软雅黑"/>
          <w:color w:val="1A1A1A"/>
          <w:sz w:val="22"/>
        </w:rPr>
        <w:t>大单净流出扩大，板块轮动完全替换，资金呈“打一枪换一个地方”的短线博弈状态，缺乏中线配置资金进场迹象。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南向净买入边际变化：</w:t>
      </w:r>
      <w:r>
        <w:rPr>
          <w:rFonts w:ascii="微软雅黑" w:hAnsi="微软雅黑" w:eastAsia="微软雅黑"/>
          <w:color w:val="1A1A1A"/>
          <w:sz w:val="22"/>
        </w:rPr>
        <w:t>21.27亿较昨日同期-7.0亿，并非内资大面积分红回流，而是持续净流入港股，对A股资金面形成分流。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通胀数据：</w:t>
      </w:r>
      <w:r>
        <w:rPr>
          <w:rFonts w:ascii="微软雅黑" w:hAnsi="微软雅黑" w:eastAsia="微软雅黑"/>
          <w:color w:val="1A1A1A"/>
          <w:sz w:val="22"/>
        </w:rPr>
        <w:t>7月CPI同比0.5%（回落0.5pp），PPI同比3.5%（回落0.6pp）。PPI回落主因油价下跌与高温暴雨影响施工，上游企业利润弹性下降，顺周期板块续涨动力有限。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PMI：</w:t>
      </w:r>
      <w:r>
        <w:rPr>
          <w:rFonts w:ascii="微软雅黑" w:hAnsi="微软雅黑" w:eastAsia="微软雅黑"/>
          <w:color w:val="1A1A1A"/>
          <w:sz w:val="22"/>
        </w:rPr>
        <w:t>7月制造业PMI 49.2，重返荣枯线下方，服务业同步回落，显示内需基础仍不稳固。高技术制造业PMI 53.3%逆势扩张，支撑电子、通信等科技方向有结构性韧性，但当前盘面科技内部已出现分化。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流动性与政策端：</w:t>
      </w:r>
      <w:r>
        <w:rPr>
          <w:rFonts w:ascii="微软雅黑" w:hAnsi="微软雅黑" w:eastAsia="微软雅黑"/>
          <w:color w:val="1A1A1A"/>
          <w:sz w:val="22"/>
        </w:rPr>
        <w:t>M2同比8.0%，M1同比4.0%，社融同比少增，货币信用扩张偏弱。LPR连续14个月不变（1Y 3.0%、5Y 3.5%），商业银行净息差1.4%处于历史最低，进一步降息空间受银行盈利约束。整体</w:t>
      </w:r>
      <w:r>
        <w:rPr>
          <w:rFonts w:ascii="微软雅黑" w:hAnsi="微软雅黑" w:eastAsia="微软雅黑"/>
          <w:b/>
          <w:color w:val="D29922"/>
          <w:sz w:val="22"/>
        </w:rPr>
        <w:t>流动性“宽货币、弱信用”</w:t>
      </w:r>
      <w:r>
        <w:rPr>
          <w:rFonts w:ascii="微软雅黑" w:hAnsi="微软雅黑" w:eastAsia="微软雅黑"/>
          <w:color w:val="1A1A1A"/>
          <w:sz w:val="22"/>
        </w:rPr>
        <w:t>格局未变，中期对权益市场估值不构成压力，但短期缺乏增量催化。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外部冲击：</w:t>
      </w:r>
      <w:r>
        <w:rPr>
          <w:rFonts w:ascii="微软雅黑" w:hAnsi="微软雅黑" w:eastAsia="微软雅黑"/>
          <w:color w:val="1A1A1A"/>
          <w:sz w:val="22"/>
        </w:rPr>
        <w:t>隔夜美股三大指数齐跌（道琼斯-1.18%、标普-0.58%、纳斯达克-0.32%），全球风险偏好收缩。人民币离岸与在岸均小幅升值，但升值幅度微弱，资本外流压力边际缓和。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板块快速轮动：</w:t>
      </w:r>
      <w:r>
        <w:rPr>
          <w:rFonts w:ascii="微软雅黑" w:hAnsi="微软雅黑" w:eastAsia="微软雅黑"/>
          <w:color w:val="1A1A1A"/>
          <w:sz w:val="22"/>
        </w:rPr>
        <w:t>领涨板块完全替换，热点无延续性，个股追高风险极大，短线资金难以形成合力。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量价背离：</w:t>
      </w:r>
      <w:r>
        <w:rPr>
          <w:rFonts w:ascii="微软雅黑" w:hAnsi="微软雅黑" w:eastAsia="微软雅黑"/>
          <w:color w:val="1A1A1A"/>
          <w:sz w:val="22"/>
        </w:rPr>
        <w:t>指数涨、个股跌、大单流出，需警惕“指数掩盖调整”的风险，避免被权重护盘误导。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南向资金扩大净买入：</w:t>
      </w:r>
      <w:r>
        <w:rPr>
          <w:rFonts w:ascii="微软雅黑" w:hAnsi="微软雅黑" w:eastAsia="微软雅黑"/>
          <w:color w:val="1A1A1A"/>
          <w:sz w:val="22"/>
        </w:rPr>
        <w:t>内资分流港股的势头延续，A股边际流动性趋弱，若后续放大至30亿以上需高度警惕情绪进一步转弱。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外部联动偏空：</w:t>
      </w:r>
      <w:r>
        <w:rPr>
          <w:rFonts w:ascii="微软雅黑" w:hAnsi="微软雅黑" w:eastAsia="微软雅黑"/>
          <w:color w:val="1A1A1A"/>
          <w:sz w:val="22"/>
        </w:rPr>
        <w:t>恒生科技-0.37%、恒生指数-0.23%，外部共识跌至-2.7，且较上一时段明显增强，A股难以独善其身。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科创50加速下跌：</w:t>
      </w:r>
      <w:r>
        <w:rPr>
          <w:rFonts w:ascii="微软雅黑" w:hAnsi="微软雅黑" w:eastAsia="微软雅黑"/>
          <w:color w:val="1A1A1A"/>
          <w:sz w:val="22"/>
        </w:rPr>
        <w:t>作为前期最强指数转入补跌，警惕高估值科技成长股的系统性回撤风险。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