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2026-08-27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3936.42</w:t>
            </w:r>
          </w:p>
        </w:tc>
        <w:tc>
          <w:tcPr>
            <w:tcW w:type="dxa" w:w="2160"/>
          </w:tcPr>
          <w:p>
            <w:r>
              <w:t>+0.61%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14005.91</w:t>
            </w:r>
          </w:p>
        </w:tc>
        <w:tc>
          <w:tcPr>
            <w:tcW w:type="dxa" w:w="2160"/>
          </w:tcPr>
          <w:p>
            <w:r>
              <w:t>+1.19%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3466.39</w:t>
            </w:r>
          </w:p>
        </w:tc>
        <w:tc>
          <w:tcPr>
            <w:tcW w:type="dxa" w:w="2160"/>
          </w:tcPr>
          <w:p>
            <w:r>
              <w:t>+1.51%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1688.25</w:t>
            </w:r>
          </w:p>
        </w:tc>
        <w:tc>
          <w:tcPr>
            <w:tcW w:type="dxa" w:w="2160"/>
          </w:tcPr>
          <w:p>
            <w:r>
              <w:t>+3.45%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4614.13</w:t>
            </w:r>
          </w:p>
        </w:tc>
        <w:tc>
          <w:tcPr>
            <w:tcW w:type="dxa" w:w="2160"/>
          </w:tcPr>
          <w:p>
            <w:r>
              <w:t>+0.51%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7903.46</w:t>
            </w:r>
          </w:p>
        </w:tc>
        <w:tc>
          <w:tcPr>
            <w:tcW w:type="dxa" w:w="2160"/>
          </w:tcPr>
          <w:p>
            <w:r>
              <w:t>+1.71%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18.1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56.45 亿  |  大单净 55.88 亿  |  涨家 25 / 跌家 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A股午盘总结报告（2026-08-27 11:30）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点睛：</w:t>
      </w:r>
      <w:r>
        <w:rPr>
          <w:rFonts w:ascii="微软雅黑" w:hAnsi="微软雅黑" w:eastAsia="微软雅黑"/>
          <w:color w:val="1A1A1A"/>
          <w:sz w:val="22"/>
        </w:rPr>
        <w:t>本时段核心变化是科创50与中证500加速上行，沪深300涨势放缓，资金从权重切向硬科技/中小盘，但外部联动转分歧，需防高位分歧加剧。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A股普涨，结构明显偏向成长：科创50涨3.45%、中证500涨1.71%、创业板指涨1.51%，而上证指数仅涨0.61%、沪深300涨0.51%。半日两市总成交约1.35万亿元，量能维持高位，个股涨跌比698:289，上涨比例69.8%，涨停19家、跌停0家，赚钱效应集中在科技与次新方向。整体属“指数温和、结构强势”状态，但权重滞涨与个股剧烈分化并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上涨698家、下跌289家、平盘13家，上涨比例69.8%，涨停19家、跌停0家。市场宽度健康，但涨停家数绝对值不算高，说明赚钱效应集中在少数高弹性品种，而非全面普涨。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半日总成交13,516亿元（上证6,491亿+深证7,024亿），量能处于较高水平。较昨日同期未提供直接成交额对比，但结合指数普涨、科创50加速，量价配合尚可，暂未出现明显量价背离。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外资监测（南向+外部联动）：</w:t>
      </w:r>
      <w:r>
        <w:rPr>
          <w:rFonts w:ascii="微软雅黑" w:hAnsi="微软雅黑" w:eastAsia="微软雅黑"/>
          <w:color w:val="1A1A1A"/>
          <w:sz w:val="22"/>
        </w:rPr>
        <w:t>南向资金净买入18.11亿元（沪7.65亿+深10.46亿），</w:t>
      </w:r>
      <w:r>
        <w:rPr>
          <w:rFonts w:ascii="微软雅黑" w:hAnsi="微软雅黑" w:eastAsia="微软雅黑"/>
          <w:b/>
          <w:color w:val="D29922"/>
          <w:sz w:val="22"/>
        </w:rPr>
        <w:t>较昨日同期+7.0亿</w:t>
      </w:r>
      <w:r>
        <w:rPr>
          <w:rFonts w:ascii="微软雅黑" w:hAnsi="微软雅黑" w:eastAsia="微软雅黑"/>
          <w:color w:val="1A1A1A"/>
          <w:sz w:val="22"/>
        </w:rPr>
        <w:t>，边际增加但仍显著低于30亿警戒线，属温和南下。外部联动：恒生指数-0.47%、恒生科技+0.15%、离岸人民币升值0.02%，三者方向分歧，外部共识得分-0.9（较昨日同期明显转弱，由+3.6降至-0.9）。综合看，内外资信号背离：南向净买入增加+外部联动转弱，指向外资风险偏好回落、内资部分南下，A股内部资金主导格局未变，需以内盘量价为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领涨板块：</w:t>
      </w:r>
      <w:r>
        <w:rPr>
          <w:rFonts w:ascii="微软雅黑" w:hAnsi="微软雅黑" w:eastAsia="微软雅黑"/>
          <w:color w:val="1A1A1A"/>
          <w:sz w:val="22"/>
        </w:rPr>
        <w:t>次新股+3.36%居首，电子器件+0.90%、有色金属+0.73%、电子信息+0.43%、机械行业+0.37%、化工行业+0.37%等涨幅居前。驱动逻辑清晰：科创50加速带动半导体/电子材料链，昨日同期科创50仅+2.18%、今天上午+3.45%，边际加速+1.27pp，是硬科技板块走强主因；次新股体现短线风险偏好升温；有色金属受金价/铜价坚挺支撑（伦敦金+0.89%、LME铜+0.39%）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领跌板块：</w:t>
      </w:r>
      <w:r>
        <w:rPr>
          <w:rFonts w:ascii="微软雅黑" w:hAnsi="微软雅黑" w:eastAsia="微软雅黑"/>
          <w:color w:val="1A1A1A"/>
          <w:sz w:val="22"/>
        </w:rPr>
        <w:t>酿酒行业-0.65%、发电设备-0.29%、电器行业-0.16%、金融行业-0.11%、公路桥梁-0.08%等。金融、酿酒等权重方向走弱是沪深300滞涨的直接原因；发电设备、电器行业回落，对应个股端阳光电源-11.32%、思源电气-10.00%、金盘科技-6.04%等机构重仓股大跌，显示存量资金从电新/权重抽出，流入硬科技与题材股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持续性判断：</w:t>
      </w:r>
      <w:r>
        <w:rPr>
          <w:rFonts w:ascii="微软雅黑" w:hAnsi="微软雅黑" w:eastAsia="微软雅黑"/>
          <w:color w:val="1A1A1A"/>
          <w:sz w:val="22"/>
        </w:rPr>
        <w:t>科创50的加速仍处于趋势延续阶段，但次新股单日+3.36%且涨停股中PE极高/亏损公司占比高，投机情绪快速升温，板块轮动明显加快。需警惕午后情绪退潮风险。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截止午盘未提供实时MACD/RSI/KDJ具体数值，从价格行为与边际变化给出定性判断：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科创50：</w:t>
      </w:r>
      <w:r>
        <w:rPr>
          <w:rFonts w:ascii="微软雅黑" w:hAnsi="微软雅黑" w:eastAsia="微软雅黑"/>
          <w:color w:val="1A1A1A"/>
          <w:sz w:val="22"/>
        </w:rPr>
        <w:t>较昨日同期+1.27pp，加速上涨，短期均线多头排列，量价配合良好，动能加速。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中证500：</w:t>
      </w:r>
      <w:r>
        <w:rPr>
          <w:rFonts w:ascii="微软雅黑" w:hAnsi="微软雅黑" w:eastAsia="微软雅黑"/>
          <w:color w:val="1A1A1A"/>
          <w:sz w:val="22"/>
        </w:rPr>
        <w:t>较昨日同期+0.44pp，同样加速，中小盘趋势偏强。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沪深300：</w:t>
      </w:r>
      <w:r>
        <w:rPr>
          <w:rFonts w:ascii="微软雅黑" w:hAnsi="微软雅黑" w:eastAsia="微软雅黑"/>
          <w:color w:val="1A1A1A"/>
          <w:sz w:val="22"/>
        </w:rPr>
        <w:t>较昨日同期-0.57pp，涨势明显放缓，动能出现衰竭迹象，需关注5日均线支撑，若午后不能重新放量上攻，则可能向20日线回踩。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较昨日同期-0.10pp，横盘延续，3936点附近滞涨，短期均线仍多头但斜率趋缓。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综合技术状态：成长指数动能加速、权重指数动能衰竭，市场内部风格极致分化，技术面暂未出现趋势反转信号，但需警惕权重拖累导致指数冲高回落。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资金流向：</w:t>
      </w:r>
      <w:r>
        <w:rPr>
          <w:rFonts w:ascii="微软雅黑" w:hAnsi="微软雅黑" w:eastAsia="微软雅黑"/>
          <w:color w:val="1A1A1A"/>
          <w:sz w:val="22"/>
        </w:rPr>
        <w:t>新浪资金流样本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