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早盘分析</w:t>
      </w:r>
    </w:p>
    <w:p>
      <w:pPr>
        <w:jc w:val="center"/>
      </w:pPr>
      <w:r>
        <w:rPr>
          <w:color w:val="8B949E"/>
          <w:sz w:val="20"/>
        </w:rPr>
        <w:t>2026-07-31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3833.28</w:t>
            </w:r>
          </w:p>
        </w:tc>
        <w:tc>
          <w:tcPr>
            <w:tcW w:type="dxa" w:w="2160"/>
          </w:tcPr>
          <w:p>
            <w:r>
              <w:t>+0.75%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13715.16</w:t>
            </w:r>
          </w:p>
        </w:tc>
        <w:tc>
          <w:tcPr>
            <w:tcW w:type="dxa" w:w="2160"/>
          </w:tcPr>
          <w:p>
            <w:r>
              <w:t>+3.23%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3412.74</w:t>
            </w:r>
          </w:p>
        </w:tc>
        <w:tc>
          <w:tcPr>
            <w:tcW w:type="dxa" w:w="2160"/>
          </w:tcPr>
          <w:p>
            <w:r>
              <w:t>+5.18%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1685.77</w:t>
            </w:r>
          </w:p>
        </w:tc>
        <w:tc>
          <w:tcPr>
            <w:tcW w:type="dxa" w:w="2160"/>
          </w:tcPr>
          <w:p>
            <w:r>
              <w:t>+6.13%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4612.50</w:t>
            </w:r>
          </w:p>
        </w:tc>
        <w:tc>
          <w:tcPr>
            <w:tcW w:type="dxa" w:w="2160"/>
          </w:tcPr>
          <w:p>
            <w:r>
              <w:t>+1.38%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7556.25</w:t>
            </w:r>
          </w:p>
        </w:tc>
        <w:tc>
          <w:tcPr>
            <w:tcW w:type="dxa" w:w="2160"/>
          </w:tcPr>
          <w:p>
            <w:r>
              <w:t>+3.37%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北向资金：净流出 30.68 亿</w:t>
      </w:r>
      <w:r>
        <w:t xml:space="preserve">  |  沪股通 -9.28 亿  |  数据源: hexin</w:t>
      </w:r>
    </w:p>
    <w:p>
      <w:r>
        <w:rPr>
          <w:b/>
        </w:rPr>
        <w:t>大资金方向（替代两融）：</w:t>
      </w:r>
      <w:r>
        <w:t>30 股聚合净流入 109.82 亿  |  大单净 110.09 亿  |  涨家 25 / 跌家 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1.0%  |  PPI 4.1%  |  PMI 50.3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📊 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开盘一小时，市场呈现典型的</w:t>
      </w:r>
      <w:r>
        <w:rPr>
          <w:rFonts w:ascii="微软雅黑" w:hAnsi="微软雅黑" w:eastAsia="微软雅黑"/>
          <w:b/>
          <w:color w:val="D29922"/>
          <w:sz w:val="22"/>
        </w:rPr>
        <w:t>深强沪弱、小票狂欢</w:t>
      </w:r>
      <w:r>
        <w:rPr>
          <w:rFonts w:ascii="微软雅黑" w:hAnsi="微软雅黑" w:eastAsia="微软雅黑"/>
          <w:color w:val="1A1A1A"/>
          <w:sz w:val="22"/>
        </w:rPr>
        <w:t>格局。权重股（尤其金融、酿酒）压盘导致上证指数涨幅温和，但大量资金涌入中小市值科技股，推动创业板、科创板暴涨超5%。市场风险偏好极高，个股炒作情绪亢奋。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📈 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涨跌比：</w:t>
      </w:r>
      <w:r>
        <w:rPr>
          <w:rFonts w:ascii="微软雅黑" w:hAnsi="微软雅黑" w:eastAsia="微软雅黑"/>
          <w:color w:val="1A1A1A"/>
          <w:sz w:val="22"/>
        </w:rPr>
        <w:t>上涨897家 / 下跌90家（比例近10:1），89.7%个股上涨。这是极强的普涨信号，赚钱效应爆棚。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涨跌停：</w:t>
      </w:r>
      <w:r>
        <w:rPr>
          <w:rFonts w:ascii="微软雅黑" w:hAnsi="微软雅黑" w:eastAsia="微软雅黑"/>
          <w:color w:val="1A1A1A"/>
          <w:sz w:val="22"/>
        </w:rPr>
        <w:t>涨停100家，跌停0家。多头完全主导，无恐慌情绪。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北向资金：</w:t>
      </w:r>
      <w:r>
        <w:rPr>
          <w:rFonts w:ascii="微软雅黑" w:hAnsi="微软雅黑" w:eastAsia="微软雅黑"/>
          <w:color w:val="1A1A1A"/>
          <w:sz w:val="22"/>
        </w:rPr>
        <w:t>净流出-30.68亿。与指数暴涨形成</w:t>
      </w:r>
      <w:r>
        <w:rPr>
          <w:rFonts w:ascii="微软雅黑" w:hAnsi="微软雅黑" w:eastAsia="微软雅黑"/>
          <w:b/>
          <w:color w:val="D29922"/>
          <w:sz w:val="22"/>
        </w:rPr>
        <w:t>罕见背离</w:t>
      </w:r>
      <w:r>
        <w:rPr>
          <w:rFonts w:ascii="微软雅黑" w:hAnsi="微软雅黑" w:eastAsia="微软雅黑"/>
          <w:color w:val="1A1A1A"/>
          <w:sz w:val="22"/>
        </w:rPr>
        <w:t>，外资趁高开兑现或进行风格切换（卖沪买深）。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大单资金流：</w:t>
      </w:r>
      <w:r>
        <w:rPr>
          <w:rFonts w:ascii="微软雅黑" w:hAnsi="微软雅黑" w:eastAsia="微软雅黑"/>
          <w:color w:val="1A1A1A"/>
          <w:sz w:val="22"/>
        </w:rPr>
        <w:t>（样本内）大单净流入110.09亿，主力资金积极做多科技方向，与北向的保守形成对比，内资主导今日行情。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🔥 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领涨：</w:t>
      </w:r>
      <w:r>
        <w:rPr>
          <w:rFonts w:ascii="微软雅黑" w:hAnsi="微软雅黑" w:eastAsia="微软雅黑"/>
          <w:b/>
          <w:color w:val="D29922"/>
          <w:sz w:val="22"/>
        </w:rPr>
        <w:t>次新股（+5.02%）、电子器件（+1.29%）、电子信息（+0.78%）</w:t>
      </w:r>
      <w:r>
        <w:rPr>
          <w:rFonts w:ascii="微软雅黑" w:hAnsi="微软雅黑" w:eastAsia="微软雅黑"/>
          <w:color w:val="1A1A1A"/>
          <w:sz w:val="22"/>
        </w:rPr>
        <w:t>。情绪核心是科技和次新，高贝塔属性明显，由创业板和科创板的强势直接带动，炒作氛围浓厚。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领跌：</w:t>
      </w:r>
      <w:r>
        <w:rPr>
          <w:rFonts w:ascii="微软雅黑" w:hAnsi="微软雅黑" w:eastAsia="微软雅黑"/>
          <w:b/>
          <w:color w:val="D29922"/>
          <w:sz w:val="22"/>
        </w:rPr>
        <w:t>酿酒（-0.71%）、金融（-0.14%）、石油（-0.14%）</w:t>
      </w:r>
      <w:r>
        <w:rPr>
          <w:rFonts w:ascii="微软雅黑" w:hAnsi="微软雅黑" w:eastAsia="微软雅黑"/>
          <w:color w:val="1A1A1A"/>
          <w:sz w:val="22"/>
        </w:rPr>
        <w:t>。传统权重和价值板块被抽血，是拖累上证指数的主因。资金从防御性高股息板块流出，追逐高弹性成长股。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📉 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 / 创业板指：</w:t>
      </w:r>
      <w:r>
        <w:rPr>
          <w:rFonts w:ascii="微软雅黑" w:hAnsi="微软雅黑" w:eastAsia="微软雅黑"/>
          <w:color w:val="1A1A1A"/>
          <w:sz w:val="22"/>
        </w:rPr>
        <w:t>两大指数早盘高开高走，均线系统呈多头排列，MACD红柱急剧放大，RSI进入超买区（&gt;80），这是极强的单边攻击形态。短期技术阻力已转化为心理关口，上涨惯性充足但脱离均线过远，存在回踩需求。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上证指数：</w:t>
      </w:r>
      <w:r>
        <w:rPr>
          <w:rFonts w:ascii="微软雅黑" w:hAnsi="微软雅黑" w:eastAsia="微软雅黑"/>
          <w:color w:val="1A1A1A"/>
          <w:sz w:val="22"/>
        </w:rPr>
        <w:t>受权重拖累，在3833点附近形成分时横盘。下方5日/10日均线提供支撑，但急需放量突破以化解（可能的）顶背离结构。当前量能（309M手）显示放量，但主要集中在深市。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🔬 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量价关系：</w:t>
      </w:r>
      <w:r>
        <w:rPr>
          <w:rFonts w:ascii="微软雅黑" w:hAnsi="微软雅黑" w:eastAsia="微软雅黑"/>
          <w:color w:val="1A1A1A"/>
          <w:sz w:val="22"/>
        </w:rPr>
        <w:t>创业板/科创板呈现“量增价升”的健康形态。上证则是“放量滞涨”，资金被分流。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资金流向：</w:t>
      </w:r>
      <w:r>
        <w:rPr>
          <w:rFonts w:ascii="微软雅黑" w:hAnsi="微软雅黑" w:eastAsia="微软雅黑"/>
          <w:color w:val="1A1A1A"/>
          <w:sz w:val="22"/>
        </w:rPr>
        <w:t>明确的“卖大买小”风格切换。主力资金从沪深300核心权重流出，涌入中证500/1000及创业板、科创板，市场宽度极佳。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外资信号：</w:t>
      </w:r>
      <w:r>
        <w:rPr>
          <w:rFonts w:ascii="微软雅黑" w:hAnsi="微软雅黑" w:eastAsia="微软雅黑"/>
          <w:color w:val="1A1A1A"/>
          <w:sz w:val="22"/>
        </w:rPr>
        <w:t>北向资金的逆势流出是当前最大噪音，需警惕其是否为领先指标。若后续流出加速，可能对高位小盘股形成情绪压制。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🏦 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经济数据：</w:t>
      </w:r>
      <w:r>
        <w:rPr>
          <w:rFonts w:ascii="微软雅黑" w:hAnsi="微软雅黑" w:eastAsia="微软雅黑"/>
          <w:color w:val="1A1A1A"/>
          <w:sz w:val="22"/>
        </w:rPr>
        <w:t>6月PMI（制造业50.3/服务业50.4）均处于扩张区间，经济弱复苏态势为市场提供基本面支撑。PPI同比4.1%依然偏高，但向下游传导不畅（核心CPI仅1.2%），中游制造业利润承压，这也是资金聚焦轻资产科技股而非传统制造业的原因之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流动性：</w:t>
      </w:r>
      <w:r>
        <w:rPr>
          <w:rFonts w:ascii="微软雅黑" w:hAnsi="微软雅黑" w:eastAsia="微软雅黑"/>
          <w:color w:val="1A1A1A"/>
          <w:sz w:val="22"/>
        </w:rPr>
        <w:t>M2增速8.0%，社融增量同比少增，显示宏观流动性并非全面宽松，而是“精准滴灌”的结构性行情。LPR连续14个月不变，短期降息预期落空，压制金融地产估值，驱动资金流向成长股。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⚠️ 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情绪过热风险：</w:t>
      </w:r>
      <w:r>
        <w:rPr>
          <w:rFonts w:ascii="微软雅黑" w:hAnsi="微软雅黑" w:eastAsia="微软雅黑"/>
          <w:color w:val="1A1A1A"/>
          <w:sz w:val="22"/>
        </w:rPr>
        <w:t>90%的上涨比例、百股涨停、科技股批量20CM涨停，情绪指标已达短期高潮，极易引发盘中或次日的技术性回调。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指标背离：</w:t>
      </w:r>
      <w:r>
        <w:rPr>
          <w:rFonts w:ascii="微软雅黑" w:hAnsi="微软雅黑" w:eastAsia="微软雅黑"/>
          <w:color w:val="1A1A1A"/>
          <w:sz w:val="22"/>
        </w:rPr>
        <w:t>北向资金净流出与指数大涨的背离必须重视。谨防外资在高位减仓带来的“多杀多”风险。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估值泡沫：</w:t>
      </w:r>
      <w:r>
        <w:rPr>
          <w:rFonts w:ascii="微软雅黑" w:hAnsi="微软雅黑" w:eastAsia="微软雅黑"/>
          <w:color w:val="1A1A1A"/>
          <w:sz w:val="22"/>
        </w:rPr>
        <w:t>领涨的次新和部分科技股PE高企（如蓝色光标PE 223倍），已进入纯情绪博弈阶段，波动剧烈。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缺口回补：</w:t>
      </w:r>
      <w:r>
        <w:rPr>
          <w:rFonts w:ascii="微软雅黑" w:hAnsi="微软雅黑" w:eastAsia="微软雅黑"/>
          <w:color w:val="1A1A1A"/>
          <w:sz w:val="22"/>
        </w:rPr>
        <w:t>早盘高开留下较大缺口，在A股“逢缺必补”的习惯下，构成向下牵引力。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