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午后更新</w:t>
      </w:r>
    </w:p>
    <w:p>
      <w:pPr>
        <w:jc w:val="center"/>
      </w:pPr>
      <w:r>
        <w:rPr>
          <w:color w:val="8B949E"/>
          <w:sz w:val="20"/>
        </w:rPr>
        <w:t>2026-09-08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3944.13</w:t>
            </w:r>
          </w:p>
        </w:tc>
        <w:tc>
          <w:tcPr>
            <w:tcW w:type="dxa" w:w="2160"/>
          </w:tcPr>
          <w:p>
            <w:r>
              <w:t>+0.29%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13738.20</w:t>
            </w:r>
          </w:p>
        </w:tc>
        <w:tc>
          <w:tcPr>
            <w:tcW w:type="dxa" w:w="2160"/>
          </w:tcPr>
          <w:p>
            <w:r>
              <w:t>-0.27%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3368.95</w:t>
            </w:r>
          </w:p>
        </w:tc>
        <w:tc>
          <w:tcPr>
            <w:tcW w:type="dxa" w:w="2160"/>
          </w:tcPr>
          <w:p>
            <w:r>
              <w:t>-0.87%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1597.65</w:t>
            </w:r>
          </w:p>
        </w:tc>
        <w:tc>
          <w:tcPr>
            <w:tcW w:type="dxa" w:w="2160"/>
          </w:tcPr>
          <w:p>
            <w:r>
              <w:t>-1.11%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4567.72</w:t>
            </w:r>
          </w:p>
        </w:tc>
        <w:tc>
          <w:tcPr>
            <w:tcW w:type="dxa" w:w="2160"/>
          </w:tcPr>
          <w:p>
            <w:r>
              <w:t>-0.16%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7787.81</w:t>
            </w:r>
          </w:p>
        </w:tc>
        <w:tc>
          <w:tcPr>
            <w:tcW w:type="dxa" w:w="2160"/>
          </w:tcPr>
          <w:p>
            <w:r>
              <w:t>+0.37%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53.5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-34.03 亿  |  大单净 -36.45 亿  |  涨家 5 / 跌家 25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一、边际速览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权重护盘与成长杀跌同步加剧，市场出现明显的结构性踩踏信号。上证指数+0.29%较上一时段仅回落0.07pp，但创业板指-0.87%较上一时段加速下滑0.71pp、科创50-1.11%加速下滑0.68pp；较昨日同期，创业板跌幅扩大4.16pp、科创50扩大3.44pp，属于明确的成长板块动能加速下行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量能方面，两市成交15690亿，较上一时段放量25%，午后放量下跌说明抛压集中释放而非承接性买入。涨跌比49.6%，全市场496涨485跌，市场宽度从昨日的约68%大幅收缩至48%，收缩幅度达20pp，个股层面赚钱效应已进入负和区间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走势判断：成长指数（创业板/科创50）为动能加速下行，上证指数为动能衰竭但未反转，整体市场处于结构性风险释放阶段。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二、量价结构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沪深300成交额约3935.6亿，两市总成交15690亿，权重占比约25%。单从该数据看，权重股并未形成虹吸效应，上证微涨但深市放量下杀，说明当前是权重象征性护盘、成长板块集中出逃的格局，而非大票单向抽血。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板块结构上，领涨方向集中在防御性和通胀驱动板块：粮食种植涨7.73%、磷肥及磷化工涨6.85%、农产品加工6.8%、风电整机5.63%，明显属于资金避险迁移的配置行为。而上一时段的领涨板块（印制电路板、元件等科技方向）已被完全替换，板块轮动速度为异常水平。结合创业板大跌的结构，结论是资金不是进攻性轮动，而是慌乱中向低位/防御性板块撤守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四、内外联动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Python预计算给出外部共识-4.8、方向偏空，原始数据支持这一判定：恒生科技-1.47%、恒生指数-0.30%同步下行，离岸人民币-0.01%基本持平。恒生科技跌幅较大构成有效看空信号；离岸人民币波动不足0.3%，属微弱信号，应予以忽略。整体外部联动偏空，且方向一致，不存在明显背离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关键要看南向资金的配合。南向净买入53.46亿，较上一时段增加20.6亿，较昨日同期激增40.7亿，持续大幅净流入港股。按框架解读：外部联动看空+南向大幅净买入，构成"内外资同步撤离A股"的偏空格局。这也是内资宁可南下也不愿接盘A股成长板块的情绪体现，与创业板/科创50的加速杀跌完全吻合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五、持续性评估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市场宽度从昨日约68%骤降至今日48%，收缩20pp，当前处于多空平衡区下沿，属于情绪快速退潮但尚未进入极端恐慌的状态。昨日涨停溢价率中位数-0.9%，说明打板策略在亏钱扩散，今日涨停家数仅6家，连板情绪显著恶化，短线资金已进入观望模式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板块快速轮动叠加打板亏钱效应，当前市场缺乏明确主线，农业、化肥等防御性板块的爆发本质上是避险驱动的脉冲行情，持续性存疑。量能放量配合的是下跌而非上涨，更意味着当前阶段典型的存量博弈中多头力量不足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六、红黄绿灯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🔴</w:t>
      </w:r>
      <w:r>
        <w:rPr>
          <w:rFonts w:ascii="微软雅黑" w:hAnsi="微软雅黑" w:eastAsia="微软雅黑"/>
          <w:b/>
          <w:color w:val="D29922"/>
          <w:sz w:val="22"/>
        </w:rPr>
        <w:t>红灯</w:t>
      </w:r>
      <w:r>
        <w:rPr>
          <w:rFonts w:ascii="微软雅黑" w:hAnsi="微软雅黑" w:eastAsia="微软雅黑"/>
          <w:color w:val="1A1A1A"/>
          <w:sz w:val="22"/>
        </w:rPr>
        <w:t>：暂无触发。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🟡</w:t>
      </w:r>
      <w:r>
        <w:rPr>
          <w:rFonts w:ascii="微软雅黑" w:hAnsi="微软雅黑" w:eastAsia="微软雅黑"/>
          <w:b/>
          <w:color w:val="D29922"/>
          <w:sz w:val="22"/>
        </w:rPr>
        <w:t>黄灯</w:t>
      </w:r>
      <w:r>
        <w:rPr>
          <w:rFonts w:ascii="微软雅黑" w:hAnsi="微软雅黑" w:eastAsia="微软雅黑"/>
          <w:color w:val="1A1A1A"/>
          <w:sz w:val="22"/>
        </w:rPr>
        <w:t>（观望信号）：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涨跌比49.6%处于多空平衡区，方向待选，但创业/科创方向已显趋势性下行，仓位不宜过高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南向净买入53亿（较上一时段+20.6亿），内资持续南下分流A股流动性，短线情绪偏弱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板块轮动完全替换，昨日主线科技方向今日全面熄火，追涨极易被套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🟢</w:t>
      </w:r>
      <w:r>
        <w:rPr>
          <w:rFonts w:ascii="微软雅黑" w:hAnsi="微软雅黑" w:eastAsia="微软雅黑"/>
          <w:b/>
          <w:color w:val="D29922"/>
          <w:sz w:val="22"/>
        </w:rPr>
        <w:t>绿灯</w:t>
      </w:r>
      <w:r>
        <w:rPr>
          <w:rFonts w:ascii="微软雅黑" w:hAnsi="微软雅黑" w:eastAsia="微软雅黑"/>
          <w:color w:val="1A1A1A"/>
          <w:sz w:val="22"/>
        </w:rPr>
        <w:t>：暂无触发。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