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2026-08-14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3918.32</w:t>
            </w:r>
          </w:p>
        </w:tc>
        <w:tc>
          <w:tcPr>
            <w:tcW w:type="dxa" w:w="2160"/>
          </w:tcPr>
          <w:p>
            <w:r>
              <w:t>-0.22%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14299.80</w:t>
            </w:r>
          </w:p>
        </w:tc>
        <w:tc>
          <w:tcPr>
            <w:tcW w:type="dxa" w:w="2160"/>
          </w:tcPr>
          <w:p>
            <w:r>
              <w:t>+0.07%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3609.26</w:t>
            </w:r>
          </w:p>
        </w:tc>
        <w:tc>
          <w:tcPr>
            <w:tcW w:type="dxa" w:w="2160"/>
          </w:tcPr>
          <w:p>
            <w:r>
              <w:t>+0.65%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1707.77</w:t>
            </w:r>
          </w:p>
        </w:tc>
        <w:tc>
          <w:tcPr>
            <w:tcW w:type="dxa" w:w="2160"/>
          </w:tcPr>
          <w:p>
            <w:r>
              <w:t>-0.58%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4658.44</w:t>
            </w:r>
          </w:p>
        </w:tc>
        <w:tc>
          <w:tcPr>
            <w:tcW w:type="dxa" w:w="2160"/>
          </w:tcPr>
          <w:p>
            <w:r>
              <w:t>-0.12%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7949.49</w:t>
            </w:r>
          </w:p>
        </w:tc>
        <w:tc>
          <w:tcPr>
            <w:tcW w:type="dxa" w:w="2160"/>
          </w:tcPr>
          <w:p>
            <w:r>
              <w:t>-0.24%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26830 亿（高活跃度）</w:t>
      </w:r>
    </w:p>
    <w:p>
      <w:r>
        <w:t xml:space="preserve">  外资占比：193.5%（北向成交 / 两市成交）</w:t>
      </w:r>
    </w:p>
    <w:p>
      <w:r>
        <w:t xml:space="preserve">  沪/深偏好：沪市 41%（偏成长进攻）</w:t>
      </w:r>
    </w:p>
    <w:p>
      <w:r>
        <w:t xml:space="preserve">  南向资金：净买入 20.7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14.09 亿  |  大单净 16.23 亿  |  涨家 16 / 跌家 14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本时段核心变化是科创50在放量中加速下跌（较上一时段-0.62pp、较昨日同期-2.49pp），创业板独立走强（+0.65%），大盘股横盘震荡，指数分化加剧。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截至上午收盘，上证指数-0.22%报3918.32，深证成指+0.07%，创业板指+0.65%，科创50-0.58%，沪深300-0.12%，中证500-0.24%。涨跌比450:527，市场宽度偏空，指数靠权重/情绪支撑。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涨跌结构：</w:t>
      </w:r>
      <w:r>
        <w:rPr>
          <w:rFonts w:ascii="微软雅黑" w:hAnsi="微软雅黑" w:eastAsia="微软雅黑"/>
          <w:color w:val="1A1A1A"/>
          <w:sz w:val="22"/>
        </w:rPr>
        <w:t>上涨450家、下跌527家、平盘23家，涨跌比0.85，涨停12家，跌停1家。市场整体偏弱，指数与个股背离明显。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成交额：</w:t>
      </w:r>
      <w:r>
        <w:rPr>
          <w:rFonts w:ascii="微软雅黑" w:hAnsi="微软雅黑" w:eastAsia="微软雅黑"/>
          <w:color w:val="1A1A1A"/>
          <w:sz w:val="22"/>
        </w:rPr>
        <w:t>半日13869亿，较上一时段+35.0%（放量），较昨日同期-12.7%（缩量）。属于时间维度背离——短时放量、同比萎缩。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外资监测：</w:t>
      </w:r>
      <w:r>
        <w:rPr>
          <w:rFonts w:ascii="微软雅黑" w:hAnsi="微软雅黑" w:eastAsia="微软雅黑"/>
          <w:color w:val="1A1A1A"/>
          <w:sz w:val="22"/>
        </w:rPr>
        <w:t>北向成交总额26830亿（沪11050亿+深13400亿），名义口径占两市成交193.5%，但该比值严重失真（北向成交规模显著高于两市总成交，存在统计口径或数据异常），不宜直接解读为外资主导。沪市成交占比41.2%，偏好成长进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南向资金：</w:t>
      </w:r>
      <w:r>
        <w:rPr>
          <w:rFonts w:ascii="微软雅黑" w:hAnsi="微软雅黑" w:eastAsia="微软雅黑"/>
          <w:color w:val="1A1A1A"/>
          <w:sz w:val="22"/>
        </w:rPr>
        <w:t>+20.74亿净流入（沪17.41亿+深3.33亿），较上一时段减少5.5亿，较昨日同期减少26.5亿。南向净买明显放缓，内资南下动能衰减。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大宗/汇率：</w:t>
      </w:r>
      <w:r>
        <w:rPr>
          <w:rFonts w:ascii="微软雅黑" w:hAnsi="微软雅黑" w:eastAsia="微软雅黑"/>
          <w:color w:val="1A1A1A"/>
          <w:sz w:val="22"/>
        </w:rPr>
        <w:t>在岸人民币+0.12%升值至6.742，离岸人民币6.745基本持平。伦敦金-0.58%，COMEX黄金-0.92%，WTI原油+0.02%。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领涨：</w:t>
      </w:r>
      <w:r>
        <w:rPr>
          <w:rFonts w:ascii="微软雅黑" w:hAnsi="微软雅黑" w:eastAsia="微软雅黑"/>
          <w:color w:val="1A1A1A"/>
          <w:sz w:val="22"/>
        </w:rPr>
        <w:t>陶瓷行业+1.18%、次新股+0.53%、有色金属+0.20%、医疗器械+0.18%、化纤行业+0.18%，属典型的零散行情，缺乏持续性主线。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领跌：</w:t>
      </w:r>
      <w:r>
        <w:rPr>
          <w:rFonts w:ascii="微软雅黑" w:hAnsi="微软雅黑" w:eastAsia="微软雅黑"/>
          <w:color w:val="1A1A1A"/>
          <w:sz w:val="22"/>
        </w:rPr>
        <w:t>酿酒-0.48%、电力-0.19%、生物制药-0.18%、金融-0.10%。防御类与大消费承压，与沪指弱势一致。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个股表现：</w:t>
      </w:r>
      <w:r>
        <w:rPr>
          <w:rFonts w:ascii="微软雅黑" w:hAnsi="微软雅黑" w:eastAsia="微软雅黑"/>
          <w:color w:val="1A1A1A"/>
          <w:sz w:val="22"/>
        </w:rPr>
        <w:t>中石科技+20%封板（散热/电子）、博济医药+20%（CRO）、阿莱德+20%、西点药业+20%；中国稀土+8.28%，带动有色板块。跌幅方面博世科-10.28%、北投科技-10.07%、城地香江-10.01%、宝鹰股份-10.00%，个股地雷仍在释放。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判断：</w:t>
      </w:r>
      <w:r>
        <w:rPr>
          <w:rFonts w:ascii="微软雅黑" w:hAnsi="微软雅黑" w:eastAsia="微软雅黑"/>
          <w:color w:val="1A1A1A"/>
          <w:sz w:val="22"/>
        </w:rPr>
        <w:t>板块快速轮动、无主线驱动，是典型的存量博弈特征。次新股走强说明投机活跃但分散，机构无明显增仓方向。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上证指数：</w:t>
      </w:r>
      <w:r>
        <w:rPr>
          <w:rFonts w:ascii="微软雅黑" w:hAnsi="微软雅黑" w:eastAsia="微软雅黑"/>
          <w:color w:val="1A1A1A"/>
          <w:sz w:val="22"/>
        </w:rPr>
        <w:t>较上一时段+0.03pp横盘，较昨日-0.64pp加速下跌。日线级别处于高位震荡，均线多头排列尚未破坏，但MACD红柱动能趋弱，RSI回落至中性区。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创业板指：</w:t>
      </w:r>
      <w:r>
        <w:rPr>
          <w:rFonts w:ascii="微软雅黑" w:hAnsi="微软雅黑" w:eastAsia="微软雅黑"/>
          <w:color w:val="1A1A1A"/>
          <w:sz w:val="22"/>
        </w:rPr>
        <w:t>+0.65%，逆势走强，医疗+电子贡献主要涨幅，结构上偏成长反弹。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科创50：</w:t>
      </w:r>
      <w:r>
        <w:rPr>
          <w:rFonts w:ascii="微软雅黑" w:hAnsi="微软雅黑" w:eastAsia="微软雅黑"/>
          <w:color w:val="1A1A1A"/>
          <w:sz w:val="22"/>
        </w:rPr>
        <w:t>跌破1800关口（1707.77），跌至前期平台附近，指数加速下跌，量能放大，短期技术面转空。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沪深300：</w:t>
      </w:r>
      <w:r>
        <w:rPr>
          <w:rFonts w:ascii="微软雅黑" w:hAnsi="微软雅黑" w:eastAsia="微软雅黑"/>
          <w:color w:val="1A1A1A"/>
          <w:sz w:val="22"/>
        </w:rPr>
        <w:t>较昨日同期-0.62pp加速下跌，显示蓝筹资金流出，指数3868-3918区间压力未突破，上方抛压沉重。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中证500：</w:t>
      </w:r>
      <w:r>
        <w:rPr>
          <w:rFonts w:ascii="微软雅黑" w:hAnsi="微软雅黑" w:eastAsia="微软雅黑"/>
          <w:color w:val="1A1A1A"/>
          <w:sz w:val="22"/>
        </w:rPr>
        <w:t>-0.24%，较昨日同期-1.10pp加速下跌，中小盘表现弱于大盘。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量价关系：</w:t>
      </w:r>
      <w:r>
        <w:rPr>
          <w:rFonts w:ascii="微软雅黑" w:hAnsi="微软雅黑" w:eastAsia="微软雅黑"/>
          <w:color w:val="1A1A1A"/>
          <w:sz w:val="22"/>
        </w:rPr>
        <w:t>半日成交13869亿，较上一时段+35%显示尾盘有明显放量，但指数未能推动上涨，属于典型的放量滞涨+部分指数下跌，暗示抛压在增加。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北向活跃度：</w:t>
      </w:r>
      <w:r>
        <w:rPr>
          <w:rFonts w:ascii="微软雅黑" w:hAnsi="微软雅黑" w:eastAsia="微软雅黑"/>
          <w:color w:val="1A1A1A"/>
          <w:sz w:val="22"/>
        </w:rPr>
        <w:t>26830亿的名义规模显著超出两市成交，存在数据口径问题，参考价值有限。从沪/深偏好看，沪市成交占比41%处于偏成长进攻区域，与创业板走强相互印证。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南向资金：</w:t>
      </w:r>
      <w:r>
        <w:rPr>
          <w:rFonts w:ascii="微软雅黑" w:hAnsi="微软雅黑" w:eastAsia="微软雅黑"/>
          <w:color w:val="1A1A1A"/>
          <w:sz w:val="22"/>
        </w:rPr>
        <w:t>净流入20.74亿，较上一时段-5.5亿、较昨日-26.5亿，内资南下明显放缓，边际上有利于A股情绪企稳，但尚未出现明显回流。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外部联动：</w:t>
      </w:r>
      <w:r>
        <w:rPr>
          <w:rFonts w:ascii="微软雅黑" w:hAnsi="微软雅黑" w:eastAsia="微软雅黑"/>
          <w:color w:val="1A1A1A"/>
          <w:sz w:val="22"/>
        </w:rPr>
        <w:t>恒生科技-1.63%、恒生指数-0.87%，外盘偏空。离岸人民币基本持平，背离度不高。外部信号偏弱但边际未进一步恶化。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综合解读：</w:t>
      </w:r>
      <w:r>
        <w:rPr>
          <w:rFonts w:ascii="微软雅黑" w:hAnsi="微软雅黑" w:eastAsia="微软雅黑"/>
          <w:color w:val="1A1A1A"/>
          <w:sz w:val="22"/>
        </w:rPr>
        <w:t>市场处于指数横盘下的结构性分化阶段。资金从科创板/中小创流出，创业板因医药/电子局部热点反抽，但缺乏持续性。量能放大但方向不明，短期多空分歧加大。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通胀数据：</w:t>
      </w:r>
      <w:r>
        <w:rPr>
          <w:rFonts w:ascii="微软雅黑" w:hAnsi="微软雅黑" w:eastAsia="微软雅黑"/>
          <w:color w:val="1A1A1A"/>
          <w:sz w:val="22"/>
        </w:rPr>
        <w:t>7月CPI同比+0.5%（前值1.0%），核心CPI+0.9%，PPI同比+3.5%（前值4.1%）。通胀全面回落，主因国际油价下行与内需偏弱，对上游周期板块形成压制。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PMI信号：</w:t>
      </w:r>
      <w:r>
        <w:rPr>
          <w:rFonts w:ascii="微软雅黑" w:hAnsi="微软雅黑" w:eastAsia="微软雅黑"/>
          <w:color w:val="1A1A1A"/>
          <w:sz w:val="22"/>
        </w:rPr>
        <w:t>7月制造业PMI 49.2，服务业PMI 49.3，双双跌破荣枯线。经济景气度边际走弱，政策宽松预期仍在，但尚未兑现。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货币环境：</w:t>
      </w:r>
      <w:r>
        <w:rPr>
          <w:rFonts w:ascii="微软雅黑" w:hAnsi="微软雅黑" w:eastAsia="微软雅黑"/>
          <w:color w:val="1A1A1A"/>
          <w:sz w:val="22"/>
        </w:rPr>
        <w:t>M2同比+8.0%，M1同比+4.0%，M1-M2剪刀差改善，但企业活期存款仍偏弱。LPR连续14个月不变（1年期3.0%、5年期3.5%），流动性总量宽松但传导效率不足。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政策面：</w:t>
      </w:r>
      <w:r>
        <w:rPr>
          <w:rFonts w:ascii="微软雅黑" w:hAnsi="微软雅黑" w:eastAsia="微软雅黑"/>
          <w:color w:val="1A1A1A"/>
          <w:sz w:val="22"/>
        </w:rPr>
        <w:t>高景气度板块为高端制造与高技术产业，与当前有色、电子等结构性表现相呼应。整体环境对市场形成“上有顶、下有底”的约束。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科创50加速下跌：</w:t>
      </w:r>
      <w:r>
        <w:rPr>
          <w:rFonts w:ascii="微软雅黑" w:hAnsi="微软雅黑" w:eastAsia="微软雅黑"/>
          <w:color w:val="1A1A1A"/>
          <w:sz w:val="22"/>
        </w:rPr>
        <w:t>较昨日同期-2.49pp，且量能放大，若午后继续放量下探，可能触发踩踏。关注是否跌破1700整数关口。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熊市/熊市反弹风险：</w:t>
      </w:r>
      <w:r>
        <w:rPr>
          <w:rFonts w:ascii="微软雅黑" w:hAnsi="微软雅黑" w:eastAsia="微软雅黑"/>
          <w:color w:val="1A1A1A"/>
          <w:sz w:val="22"/>
        </w:rPr>
        <w:t>涨停数据中大量创业板/科创板个股以20cm涨停，市场投机性过高，存在退潮期快速回落的风险。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数据异常：</w:t>
      </w:r>
      <w:r>
        <w:rPr>
          <w:rFonts w:ascii="微软雅黑" w:hAnsi="微软雅黑" w:eastAsia="微软雅黑"/>
          <w:color w:val="1A1A1A"/>
          <w:sz w:val="22"/>
        </w:rPr>
        <w:t>北向成交额26830亿/参与率193.5%存在统计异常，北向资金方向信号被污染，不能据此判断外资真实进出。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个股地雷：</w:t>
      </w:r>
      <w:r>
        <w:rPr>
          <w:rFonts w:ascii="微软雅黑" w:hAnsi="微软雅黑" w:eastAsia="微软雅黑"/>
          <w:color w:val="1A1A1A"/>
          <w:sz w:val="22"/>
        </w:rPr>
        <w:t>多只个股跌停或大幅下挫（宝鹰股份、城地香江等），谨防业绩暴雷与高估值品种补跌。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外部风险：</w:t>
      </w:r>
      <w:r>
        <w:rPr>
          <w:rFonts w:ascii="微软雅黑" w:hAnsi="微软雅黑" w:eastAsia="微软雅黑"/>
          <w:color w:val="1A1A1A"/>
          <w:sz w:val="22"/>
        </w:rPr>
        <w:t>港股科技板块走弱，离岸人民币未明显贬值，整体外部环境偏空但可控。午后需关注恒生科技是否继续走低。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免责声明：本报告由AI自动生成，仅供参考，不构成任何投资建议。投资有风险，入市需谨慎。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