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2026-09-14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3894.16</w:t>
            </w:r>
          </w:p>
        </w:tc>
        <w:tc>
          <w:tcPr>
            <w:tcW w:type="dxa" w:w="2160"/>
          </w:tcPr>
          <w:p>
            <w:r>
              <w:t>+0.16%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13488.29</w:t>
            </w:r>
          </w:p>
        </w:tc>
        <w:tc>
          <w:tcPr>
            <w:tcW w:type="dxa" w:w="2160"/>
          </w:tcPr>
          <w:p>
            <w:r>
              <w:t>+0.13%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3323.59</w:t>
            </w:r>
          </w:p>
        </w:tc>
        <w:tc>
          <w:tcPr>
            <w:tcW w:type="dxa" w:w="2160"/>
          </w:tcPr>
          <w:p>
            <w:r>
              <w:t>+0.05%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1539.15</w:t>
            </w:r>
          </w:p>
        </w:tc>
        <w:tc>
          <w:tcPr>
            <w:tcW w:type="dxa" w:w="2160"/>
          </w:tcPr>
          <w:p>
            <w:r>
              <w:t>-0.92%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4502.46</w:t>
            </w:r>
          </w:p>
        </w:tc>
        <w:tc>
          <w:tcPr>
            <w:tcW w:type="dxa" w:w="2160"/>
          </w:tcPr>
          <w:p>
            <w:r>
              <w:t>-0.17%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7603.81</w:t>
            </w:r>
          </w:p>
        </w:tc>
        <w:tc>
          <w:tcPr>
            <w:tcW w:type="dxa" w:w="2160"/>
          </w:tcPr>
          <w:p>
            <w:r>
              <w:t>+0.31%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25.3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-2.12 亿  |  大单净 -3.63 亿  |  涨家 11 / 跌家 19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本时段核心变化是：科创50加速下跌与中证500加速上涨形成极端分化，叠加板块完全轮动（次新股/电子器件/医疗器械接替玻璃/传媒/船舶），资金从科技权重向中小盘题材快速切换，短期结构极不稳定。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早盘1小时，三大指数平开后集体冲高回落：上证指数+0.16%报3894.16点（较上一时段低点回升后再度走平），深成指+0.13%，创业板指仅+0.05%。表面看似普涨，实则内部撕裂——科创50加速下跌-0.92%（较上一时段恶化0.92pp），沪深300微跌-0.17%，而中证500加速上涨+0.31%（较上一时段改善0.31pp）。指数层面“指数温和、结构极端”是当前市场最大特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：上涨772家 vs 下跌218家，上涨比例77.2%。涨停15家、跌停0家。市场宽度偏多，但指数涨幅远弱于宽度，说明大量上涨集中在中小盘题材股，权重股贡献为负。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：沪市约4045亿、深市约4488亿，两市早盘1小时合计约8533亿。量能较昨日同期并未明显萎缩，属中性偏活跃水平，但较近期峰值仍显温和。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涨停家数15家、跌停0家</w:t>
      </w:r>
      <w:r>
        <w:rPr>
          <w:rFonts w:ascii="微软雅黑" w:hAnsi="微软雅黑" w:eastAsia="微软雅黑"/>
          <w:color w:val="1A1A1A"/>
          <w:sz w:val="22"/>
        </w:rPr>
        <w:t>：做多情绪有但不浓烈，处于结构性行情而非全面进攻状态。次新股贡献了大量涨停，显示情绪资金偏博弈而非趋势确认。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港A联动与资金</w:t>
      </w:r>
      <w:r>
        <w:rPr>
          <w:rFonts w:ascii="微软雅黑" w:hAnsi="微软雅黑" w:eastAsia="微软雅黑"/>
          <w:color w:val="1A1A1A"/>
          <w:sz w:val="22"/>
        </w:rPr>
        <w:t>：南向资金（港股通）净买入+25.32亿，延续净流入。这一信号在早盘A股指数走平背景下，指向部分内资仍在分流港股，A股增量资金托底力度有限。外部联动方面，恒生指数+0.07%、恒生科技+0.02%、离岸人民币微升，外部共识值仅+0.9，处于“分歧”区间，无法确认外资方向，需重点以内盘量价为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</w:t>
      </w:r>
      <w:r>
        <w:rPr>
          <w:rFonts w:ascii="微软雅黑" w:hAnsi="微软雅黑" w:eastAsia="微软雅黑"/>
          <w:color w:val="1A1A1A"/>
          <w:sz w:val="22"/>
        </w:rPr>
        <w:t>：次新股+1.52%（绝对强势，涨停个股集中地）、电子器件+0.29%、医疗器械+0.27%、仪器仪表+0.23%。较上一时段领涨板块完全替换——玻璃行业、传媒娱乐、船舶制造已明显退潮，轮动速度极快，属典型存量博弈下的脉冲式炒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：飞机制造-0.47%、农林牧渔-0.15%、开发区-0.14%、酒店旅游-0.10%、机械行业-0.10%。农业板块回落与CPI走弱（7月CPI仅0.5%）形成共振，消费和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