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2026-09-10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3934.36</w:t>
            </w:r>
          </w:p>
        </w:tc>
        <w:tc>
          <w:tcPr>
            <w:tcW w:type="dxa" w:w="2160"/>
          </w:tcPr>
          <w:p>
            <w:r>
              <w:t>-0.43%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13618.58</w:t>
            </w:r>
          </w:p>
        </w:tc>
        <w:tc>
          <w:tcPr>
            <w:tcW w:type="dxa" w:w="2160"/>
          </w:tcPr>
          <w:p>
            <w:r>
              <w:t>-0.76%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3338.91</w:t>
            </w:r>
          </w:p>
        </w:tc>
        <w:tc>
          <w:tcPr>
            <w:tcW w:type="dxa" w:w="2160"/>
          </w:tcPr>
          <w:p>
            <w:r>
              <w:t>-0.48%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1569.11</w:t>
            </w:r>
          </w:p>
        </w:tc>
        <w:tc>
          <w:tcPr>
            <w:tcW w:type="dxa" w:w="2160"/>
          </w:tcPr>
          <w:p>
            <w:r>
              <w:t>-0.69%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4547.68</w:t>
            </w:r>
          </w:p>
        </w:tc>
        <w:tc>
          <w:tcPr>
            <w:tcW w:type="dxa" w:w="2160"/>
          </w:tcPr>
          <w:p>
            <w:r>
              <w:t>-0.54%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7720.13</w:t>
            </w:r>
          </w:p>
        </w:tc>
        <w:tc>
          <w:tcPr>
            <w:tcW w:type="dxa" w:w="2160"/>
          </w:tcPr>
          <w:p>
            <w:r>
              <w:t>-0.62%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37.6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26.65 亿  |  大单净 22.76 亿  |  涨家 18 / 跌家 12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color w:val="1A1A1A"/>
          <w:sz w:val="22"/>
        </w:rPr>
        <w:t>尾盘放量滞跌、全市场宽度崩塌，南向大幅净买入+港股科技重挫形成内外资同步偏空共振</w:t>
      </w:r>
      <w:r>
        <w:rPr>
          <w:rFonts w:ascii="微软雅黑" w:hAnsi="微软雅黑" w:eastAsia="微软雅黑"/>
          <w:color w:val="1A1A1A"/>
          <w:sz w:val="22"/>
        </w:rPr>
        <w:t>。上证指数收于3934.36点，跌0.43%，与14:02时段基本持平（横盘延续），但较昨日同期走弱0.77个百分点，呈弱势整理格局。深证成指跌0.76%、创业板指跌0.48%，全市场上涨家数仅135家、下跌857家，普跌格局下盘面由权重和少数题材独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16292亿元，较上一时段放量22.3%，较昨日同期缩量11.3%。放量出现在尾盘一小时，但指数几无向上弹性，呈</w:t>
      </w:r>
      <w:r>
        <w:rPr>
          <w:rFonts w:ascii="微软雅黑" w:hAnsi="微软雅黑" w:eastAsia="微软雅黑"/>
          <w:color w:val="1A1A1A"/>
          <w:sz w:val="22"/>
        </w:rPr>
        <w:t>放量滞跌/换手式抛压</w:t>
      </w:r>
      <w:r>
        <w:rPr>
          <w:rFonts w:ascii="微软雅黑" w:hAnsi="微软雅黑" w:eastAsia="微软雅黑"/>
          <w:color w:val="1A1A1A"/>
          <w:sz w:val="22"/>
        </w:rPr>
        <w:t>特征。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上涨135家 vs 下跌857家（涨跌比0.16），涨停3家、跌停3家，市场宽度极弱，赚钱效应接近冰点。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南向资金（外资监测核心反向指标）：</w:t>
      </w:r>
      <w:r>
        <w:rPr>
          <w:rFonts w:ascii="微软雅黑" w:hAnsi="微软雅黑" w:eastAsia="微软雅黑"/>
          <w:color w:val="1A1A1A"/>
          <w:sz w:val="22"/>
        </w:rPr>
        <w:t>港股通净买入37.6亿元（沪港通贡献35.61亿、深港通仅1.99亿），属</w:t>
      </w:r>
      <w:r>
        <w:rPr>
          <w:rFonts w:ascii="微软雅黑" w:hAnsi="微软雅黑" w:eastAsia="微软雅黑"/>
          <w:color w:val="1A1A1A"/>
          <w:sz w:val="22"/>
        </w:rPr>
        <w:t>大幅净流入</w:t>
      </w:r>
      <w:r>
        <w:rPr>
          <w:rFonts w:ascii="微软雅黑" w:hAnsi="微软雅黑" w:eastAsia="微软雅黑"/>
          <w:color w:val="1A1A1A"/>
          <w:sz w:val="22"/>
        </w:rPr>
        <w:t>。内资持续南下，与恒指-1.23%、恒生科技-2.12%同步，反映内资在港股下跌中逆势抄底，A股情绪偏弱。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＜b&gt;领涨方向：</w:t>
      </w:r>
      <w:r>
        <w:rPr>
          <w:rFonts w:ascii="微软雅黑" w:hAnsi="微软雅黑" w:eastAsia="微软雅黑"/>
          <w:color w:val="1A1A1A"/>
          <w:sz w:val="22"/>
        </w:rPr>
        <w:t>船舶制造（+0.40%）、陶瓷（+0.26%）、飞机制造（+0.20%）、玻璃（+0.15%）、金融行业（+0.13%）——权重护盘+低位军工补涨，缺乏成交主线支撑。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＜b&gt;领跌方向：</w:t>
      </w:r>
      <w:r>
        <w:rPr>
          <w:rFonts w:ascii="微软雅黑" w:hAnsi="微软雅黑" w:eastAsia="微软雅黑"/>
          <w:color w:val="1A1A1A"/>
          <w:sz w:val="22"/>
        </w:rPr>
        <w:t>次新股（-1.27%）、酿酒行业（-0.79%）、医疗器械（-0.33%）、开发区（-0.31%）。次新股领跌与指数走弱同步，说明风险偏好收缩；酿酒龙头的持续走弱强化了消费白马的估值消化逻辑。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＜b&gt;驱动逻辑：</w:t>
      </w:r>
      <w:r>
        <w:rPr>
          <w:rFonts w:ascii="微软雅黑" w:hAnsi="微软雅黑" w:eastAsia="微软雅黑"/>
          <w:color w:val="1A1A1A"/>
          <w:sz w:val="22"/>
        </w:rPr>
        <w:t>无增量主线下，资金从高估值次新与消费白马撤向低估值金融、军工，属典型防御性调仓，反映避险情绪抬头。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上证指数：</w:t>
      </w:r>
      <w:r>
        <w:rPr>
          <w:rFonts w:ascii="微软雅黑" w:hAnsi="微软雅黑" w:eastAsia="微软雅黑"/>
          <w:color w:val="1A1A1A"/>
          <w:sz w:val="22"/>
        </w:rPr>
        <w:t>收盘3934，全天受压于开盘价3939，价差极窄。较上一时段几乎持平（-0.04pp），动能衰竭而非加速；较昨日同期走弱（-0.77pp），中期趋势偏弱。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创业板指：</w:t>
      </w:r>
      <w:r>
        <w:rPr>
          <w:rFonts w:ascii="微软雅黑" w:hAnsi="微软雅黑" w:eastAsia="微软雅黑"/>
          <w:color w:val="1A1A1A"/>
          <w:sz w:val="22"/>
        </w:rPr>
        <w:t>是本时段唯一明显加速的指数（较上一时段由-0.15%扩大至-0.48%，-0.33pp），尾盘跳水迹象明显，动能仍在释放，警惕下一交易日惯性低开。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深证成指/科创50：</w:t>
      </w:r>
      <w:r>
        <w:rPr>
          <w:rFonts w:ascii="微软雅黑" w:hAnsi="微软雅黑" w:eastAsia="微软雅黑"/>
          <w:color w:val="1A1A1A"/>
          <w:sz w:val="22"/>
        </w:rPr>
        <w:t>均维持横盘至缓慢下移格局，较上一时段边际走弱有限，但缺乏反弹动能。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指数结构：</w:t>
      </w:r>
      <w:r>
        <w:rPr>
          <w:rFonts w:ascii="微软雅黑" w:hAnsi="微软雅黑" w:eastAsia="微软雅黑"/>
          <w:color w:val="1A1A1A"/>
          <w:sz w:val="22"/>
        </w:rPr>
        <w:t>沪深300（-0.54%）明显弱于上证，显示权重内部出现分化，不排除前期护盘资金尾盘减仓。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资金流向（新浪30样本）：</w:t>
      </w:r>
      <w:r>
        <w:rPr>
          <w:rFonts w:ascii="微软雅黑" w:hAnsi="微软雅黑" w:eastAsia="微软雅黑"/>
          <w:color w:val="1A1A1A"/>
          <w:sz w:val="22"/>
        </w:rPr>
        <w:t>大单净流入+22.76亿，总净流入+26.65亿，18家流入/12家流出，大单小幅净流入但总额偏低，属试探性买盘而非主动进攻。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量价关系：</w:t>
      </w:r>
      <w:r>
        <w:rPr>
          <w:rFonts w:ascii="微软雅黑" w:hAnsi="微软雅黑" w:eastAsia="微软雅黑"/>
          <w:color w:val="1A1A1A"/>
          <w:sz w:val="22"/>
        </w:rPr>
        <w:t>尾盘放量22.3%但指数横盘，</w:t>
      </w:r>
      <w:r>
        <w:rPr>
          <w:rFonts w:ascii="微软雅黑" w:hAnsi="微软雅黑" w:eastAsia="微软雅黑"/>
          <w:color w:val="1A1A1A"/>
          <w:sz w:val="22"/>
        </w:rPr>
        <w:t>量价背离</w:t>
      </w:r>
      <w:r>
        <w:rPr>
          <w:rFonts w:ascii="微软雅黑" w:hAnsi="微软雅黑" w:eastAsia="微软雅黑"/>
          <w:color w:val="1A1A1A"/>
          <w:sz w:val="22"/>
        </w:rPr>
        <w:t>特征明显。若明日无法收复开盘位，则本轮反弹结束概率上升。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市场宽度：</w:t>
      </w:r>
      <w:r>
        <w:rPr>
          <w:rFonts w:ascii="微软雅黑" w:hAnsi="微软雅黑" w:eastAsia="微软雅黑"/>
          <w:color w:val="1A1A1A"/>
          <w:sz w:val="22"/>
        </w:rPr>
        <w:t>13.5%的上涨比例，处于极端弱势区间，历史上此类宽度数据次日反弹概率虽高，但需成交确认，不宜左侧重仓。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外部联动与南向组合：</w:t>
      </w:r>
      <w:r>
        <w:rPr>
          <w:rFonts w:ascii="微软雅黑" w:hAnsi="微软雅黑" w:eastAsia="微软雅黑"/>
          <w:color w:val="1A1A1A"/>
          <w:sz w:val="22"/>
        </w:rPr>
        <w:t>按外资二维框架，南向净卖出才是A股偏强信号，今日南向大幅净买入37.6亿+恒指/恒生科技同跌，</w:t>
      </w:r>
      <w:r>
        <w:rPr>
          <w:rFonts w:ascii="微软雅黑" w:hAnsi="微软雅黑" w:eastAsia="微软雅黑"/>
          <w:color w:val="1A1A1A"/>
          <w:sz w:val="22"/>
        </w:rPr>
        <w:t>内外资同步偏空</w:t>
      </w:r>
      <w:r>
        <w:rPr>
          <w:rFonts w:ascii="微软雅黑" w:hAnsi="微软雅黑" w:eastAsia="微软雅黑"/>
          <w:color w:val="1A1A1A"/>
          <w:sz w:val="22"/>
        </w:rPr>
        <w:t>，信号强度较高。离岸人民币升破6.70（CNH +0.03%），提供微弱对冲，但不足以逆转方向判断。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基本面：</w:t>
      </w:r>
      <w:r>
        <w:rPr>
          <w:rFonts w:ascii="微软雅黑" w:hAnsi="微软雅黑" w:eastAsia="微软雅黑"/>
          <w:color w:val="1A1A1A"/>
          <w:sz w:val="22"/>
        </w:rPr>
        <w:t>7月CPI同比+0.5%（前值1.0%），PPI同比+3.5%（前值4.1%），制造业PMI 49.2跌入收缩区间，服务业PMI 49.3同样转弱。经济面临“价格回落+生产放缓”的双重压力，对顺周期与消费板块构成估值压制。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流动性：</w:t>
      </w:r>
      <w:r>
        <w:rPr>
          <w:rFonts w:ascii="微软雅黑" w:hAnsi="微软雅黑" w:eastAsia="微软雅黑"/>
          <w:color w:val="1A1A1A"/>
          <w:sz w:val="22"/>
        </w:rPr>
        <w:t>M2同比+8.0%、M1+4.0%，LPR连续14个月不变（1年3.0%、5年3.5%），商业银行净息差1.4%处历史低位，宽货币向宽信用传导不畅。整体流动性宽松但风险偏好不足，资金在“资产荒”背景下仍偏好类债与低估值红利资产。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外部环境：</w:t>
      </w:r>
      <w:r>
        <w:rPr>
          <w:rFonts w:ascii="微软雅黑" w:hAnsi="微软雅黑" w:eastAsia="微软雅黑"/>
          <w:color w:val="1A1A1A"/>
          <w:sz w:val="22"/>
        </w:rPr>
        <w:t>道指-0.77%、纳指-0.64%、标普-0.48%，叠加恒生科技-2.12%，海外风险偏好收缩对A股成长板块形成压力。伦敦金+0.52%续创新高至4424美元，避险需求升温。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外资方向共振偏空：</w:t>
      </w:r>
      <w:r>
        <w:rPr>
          <w:rFonts w:ascii="微软雅黑" w:hAnsi="微软雅黑" w:eastAsia="微软雅黑"/>
          <w:color w:val="1A1A1A"/>
          <w:sz w:val="22"/>
        </w:rPr>
        <w:t>南向大幅净买入（37.6亿）+港股科技重挫+离岸人民币持平，形成内外资同步偏弱信号，短期内不宜对反弹空间抱过高期待。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创业板加速信号：</w:t>
      </w:r>
      <w:r>
        <w:rPr>
          <w:rFonts w:ascii="微软雅黑" w:hAnsi="微软雅黑" w:eastAsia="微软雅黑"/>
          <w:color w:val="1A1A1A"/>
          <w:sz w:val="22"/>
        </w:rPr>
        <w:t>创业板指尾盘较上一时段加速下跌0.33个百分点，若明日低开并跌破3300整数关口，可能引发量化止损盘连锁反应。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量价背离隐患：</w:t>
      </w:r>
      <w:r>
        <w:rPr>
          <w:rFonts w:ascii="微软雅黑" w:hAnsi="微软雅黑" w:eastAsia="微软雅黑"/>
          <w:color w:val="1A1A1A"/>
          <w:sz w:val="22"/>
        </w:rPr>
        <w:t>放量滞跌+市场宽度冰点，暗示抛压未完全释放，后市若缩量阴跌需警惕“温水煮蛙”式调整。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板块快速轮动：</w:t>
      </w:r>
      <w:r>
        <w:rPr>
          <w:rFonts w:ascii="微软雅黑" w:hAnsi="微软雅黑" w:eastAsia="微软雅黑"/>
          <w:color w:val="1A1A1A"/>
          <w:sz w:val="22"/>
        </w:rPr>
        <w:t>热钱在高位题材中反复切换（N电科思+238%但无参考意义；中粮糖业跌停、康欣新材-20.42%），无持续性主线，追涨风险极大。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宏观数据压制：</w:t>
      </w:r>
      <w:r>
        <w:rPr>
          <w:rFonts w:ascii="微软雅黑" w:hAnsi="微软雅黑" w:eastAsia="微软雅黑"/>
          <w:color w:val="1A1A1A"/>
          <w:sz w:val="22"/>
        </w:rPr>
        <w:t>PPI连续回落+PMI收缩，工业企业盈利改善斜率趋缓，顺周期板块或面临盈利预期下修。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