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3941.38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13611.55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3312.24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1617.60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4547.90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7729.22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创业板指较上一时段加速上涨2.4pp，动能突变，且领涨板块完全替换。隔夜纳斯达克仅涨0.45%，外部传导中性偏弱；富时A50期货数据缺失，无法给出盘前外资方向判断。昨日各指数较上一时段普遍+1.0~2.4pp加速上涨，但较昨日同期基本横盘延续，显示日线级别仍未脱离震荡市；今日开盘存在惯性冲高，但板块快速轮动下持续性存疑，需防高开低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核心风险是“加速度高、涨幅接近零”的量价背离：若开盘冲高但成交额不能突破昨日同期，则动能衰竭概率较大，尤其创业板指加速上涨2.4pp后追涨性价比低。宏观层面，CPI同比0.5%、PPI同比3.5%双双回落，PMI制造业49.2跌破荣枯线，社融同比少增8606亿，基本面不支持趋势性上攻；LPR连续14个月不变且银行净息差1.4%历史最低，短期难有总量宽松，政策更可能以结构性工具应对。板块上关注昨日接棒领涨的玻璃、传媒、船舶能否放量延续，若继续快速替换则市场宽度转差，赚钱效应衰减。关键位置看上证指数能否放量站稳短均线，若缩量则视为脉冲而非增量驱动，建议以开盘30分钟量能作为多空分水岭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