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2026-08-04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3803.55</w:t>
            </w:r>
          </w:p>
        </w:tc>
        <w:tc>
          <w:tcPr>
            <w:tcW w:type="dxa" w:w="2160"/>
          </w:tcPr>
          <w:p>
            <w:r>
              <w:t>-0.16%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13700.15</w:t>
            </w:r>
          </w:p>
        </w:tc>
        <w:tc>
          <w:tcPr>
            <w:tcW w:type="dxa" w:w="2160"/>
          </w:tcPr>
          <w:p>
            <w:r>
              <w:t>+1.87%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3414.65</w:t>
            </w:r>
          </w:p>
        </w:tc>
        <w:tc>
          <w:tcPr>
            <w:tcW w:type="dxa" w:w="2160"/>
          </w:tcPr>
          <w:p>
            <w:r>
              <w:t>+3.39%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1577.30</w:t>
            </w:r>
          </w:p>
        </w:tc>
        <w:tc>
          <w:tcPr>
            <w:tcW w:type="dxa" w:w="2160"/>
          </w:tcPr>
          <w:p>
            <w:r>
              <w:t>+1.57%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4567.01</w:t>
            </w:r>
          </w:p>
        </w:tc>
        <w:tc>
          <w:tcPr>
            <w:tcW w:type="dxa" w:w="2160"/>
          </w:tcPr>
          <w:p>
            <w:r>
              <w:t>+0.52%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7516.40</w:t>
            </w:r>
          </w:p>
        </w:tc>
        <w:tc>
          <w:tcPr>
            <w:tcW w:type="dxa" w:w="2160"/>
          </w:tcPr>
          <w:p>
            <w:r>
              <w:t>+1.37%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1.0%  |  PPI 4.1%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本时段核心变化是：成长指数加速上行，但成交额缩量过半，量价背离信号强烈，动能持续性存疑。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昨日盘面呈现显著分化，上证指数微幅收跌但跌势收敛，而深成指、创业板指及科创50等成长风格指数出现加速上涨。隔夜纳斯达克指数大涨2.13%，对A股成长板块构成正面情绪催化。需警惕的是，指数加速上行的背后是成交额滑落至9728亿的地量水平，增量资金未有效跟进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主要指数表现：</w:t>
      </w:r>
      <w:r>
        <w:rPr>
          <w:rFonts w:ascii="微软雅黑" w:hAnsi="微软雅黑" w:eastAsia="微软雅黑"/>
          <w:color w:val="1A1A1A"/>
          <w:sz w:val="22"/>
        </w:rPr>
        <w:t>上证指数收跌0.16%（较上一时段反弹+0.52pp，较昨日同期反弹+0.39pp），跌势减弱。深证成指+1.87%（较上一时段加速+2.88pp，较昨日同期加速+2.32pp），创业板指+3.39%（较上一时段加速+4.72pp，较昨日同期加速+4.16pp），科创50+1.57%（较上一时段加速+6.82pp，较昨日同期加速+4.86pp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量能：</w:t>
      </w:r>
      <w:r>
        <w:rPr>
          <w:rFonts w:ascii="微软雅黑" w:hAnsi="微软雅黑" w:eastAsia="微软雅黑"/>
          <w:color w:val="1A1A1A"/>
          <w:sz w:val="22"/>
        </w:rPr>
        <w:t>成交额9728亿，较上一时段锐减50.8%，较昨日同期缩量14.0%。指数加速上涨与成交额大幅萎缩形成典型的</w:t>
      </w:r>
      <w:r>
        <w:rPr>
          <w:rFonts w:ascii="微软雅黑" w:hAnsi="微软雅黑" w:eastAsia="微软雅黑"/>
          <w:b/>
          <w:color w:val="D29922"/>
          <w:sz w:val="22"/>
        </w:rPr>
        <w:t>量价背离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资金信号：</w:t>
      </w:r>
      <w:r>
        <w:rPr>
          <w:rFonts w:ascii="微软雅黑" w:hAnsi="微软雅黑" w:eastAsia="微软雅黑"/>
          <w:color w:val="1A1A1A"/>
          <w:sz w:val="22"/>
        </w:rPr>
        <w:t>无北向资金数据，但内资主导的缩量普涨往往预示结构性行情而非全面牛市，资金从权重蓝筹流向成长赛道的腾挪特征明显。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 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板块轮动极快，呈现“一日游”特征。领涨板块被</w:t>
      </w:r>
      <w:r>
        <w:rPr>
          <w:rFonts w:ascii="微软雅黑" w:hAnsi="微软雅黑" w:eastAsia="微软雅黑"/>
          <w:b/>
          <w:color w:val="D29922"/>
          <w:sz w:val="22"/>
        </w:rPr>
        <w:t>电子器件、陶瓷行业、次新股</w:t>
      </w:r>
      <w:r>
        <w:rPr>
          <w:rFonts w:ascii="微软雅黑" w:hAnsi="微软雅黑" w:eastAsia="微软雅黑"/>
          <w:color w:val="1A1A1A"/>
          <w:sz w:val="22"/>
        </w:rPr>
        <w:t>完全接替，此前的电器行业、飞机制造、发电设备退潮。这种快速轮动通常是市场缺乏主线、短线资金博弈加剧的信号。隔夜纳斯达克科技股大涨，今日A股电子、半导体等板块开盘或有高开溢价，追高风险较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 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创业板指与科创50指数呈现超跌后的报复性反弹形态，短周期动能突变加速，价格站上5日均线。然而，在更长周期（如周线级别）的下降通道尚未被扭转，当前的加速上涨（较上一时段+4.72pp / +6.82pp）属于下跌趋势中的逆势强反弹。若后续无法补量，这种动能突变极易形成阶段性高点。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 量化视角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走势判断：动能加速，但存在隐患。</w:t>
      </w:r>
      <w:r>
        <w:rPr>
          <w:rFonts w:ascii="微软雅黑" w:hAnsi="微软雅黑" w:eastAsia="微软雅黑"/>
          <w:color w:val="1A1A1A"/>
          <w:sz w:val="22"/>
        </w:rPr>
        <w:t>市场宽度显示上涨集中在少数成长权重股，而非普涨。量价关系上，成交额萎缩50.8%是极其危险的信号，表明上涨并未获得市场整体共识，更多是卖盘暂时枯竭叠加部分资金博弈超跌反弹的结果。资金流向呈现从主板向双创板块的单向迁移，一旦迁移停止，指数将面临回调压力。重点警示：当前为典型的</w:t>
      </w:r>
      <w:r>
        <w:rPr>
          <w:rFonts w:ascii="微软雅黑" w:hAnsi="微软雅黑" w:eastAsia="微软雅黑"/>
          <w:b/>
          <w:color w:val="D29922"/>
          <w:sz w:val="22"/>
        </w:rPr>
        <w:t>量价背离</w:t>
      </w:r>
      <w:r>
        <w:rPr>
          <w:rFonts w:ascii="微软雅黑" w:hAnsi="微软雅黑" w:eastAsia="微软雅黑"/>
          <w:color w:val="1A1A1A"/>
          <w:sz w:val="22"/>
        </w:rPr>
        <w:t>加速。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 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宏观数据提供的是一个“弱现实、稳预期”的背景。7月制造业PMI录得49.2，跌破荣枯线，经济内生动力偏弱。CPI维持1.0%低位，PPI虽同比增4.1%但环比转负，显示需求不足。流动性方面，M2增速8.0%，LPR连续14个月不变，整体无风险利率处于低位，“资产荒”格局仍在。在此背景下，景气度确定的结构性方向（如PMI仍处于53.3%扩张区间的高技术制造业）更易获得资金抱团，这与昨日双创指数的强势表现是吻合的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 风险提示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今日核心风险在于</w:t>
      </w:r>
      <w:r>
        <w:rPr>
          <w:rFonts w:ascii="微软雅黑" w:hAnsi="微软雅黑" w:eastAsia="微软雅黑"/>
          <w:b/>
          <w:color w:val="D29922"/>
          <w:sz w:val="22"/>
        </w:rPr>
        <w:t>情绪传导的持续性</w:t>
      </w:r>
      <w:r>
        <w:rPr>
          <w:rFonts w:ascii="微软雅黑" w:hAnsi="微软雅黑" w:eastAsia="微软雅黑"/>
          <w:color w:val="1A1A1A"/>
          <w:sz w:val="22"/>
        </w:rPr>
        <w:t>。隔夜美股大涨可能驱动A股高开，但若开盘后60分钟内成交额无法有效放大至同期120%以上，需警惕高开低走。最大的风险源头是昨日的量价背离信号，缩量加速上涨是动能衰竭的前兆，切忌在此位置追高日内涨幅已大的板块。关注北向资金盘中实时流向，若出现大幅净卖出将与内资形成共振压力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免责声明：</w:t>
      </w:r>
      <w:r>
        <w:rPr>
          <w:rFonts w:ascii="微软雅黑" w:hAnsi="微软雅黑" w:eastAsia="微软雅黑"/>
          <w:color w:val="1A1A1A"/>
          <w:sz w:val="22"/>
        </w:rPr>
        <w:t>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