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股量化报告 — 收盘报告</w:t>
      </w:r>
    </w:p>
    <w:p>
      <w:pPr>
        <w:jc w:val="center"/>
      </w:pPr>
      <w:r>
        <w:rPr>
          <w:color w:val="8B949E"/>
          <w:sz w:val="20"/>
        </w:rPr>
        <w:t>2026-07-30  |  模型: DeepSeek  |  量化交易视角</w:t>
      </w:r>
    </w:p>
    <w:p>
      <w:pPr>
        <w:pStyle w:val="Heading2"/>
      </w:pPr>
      <w:r>
        <w:t>核心指标速览</w:t>
      </w:r>
    </w:p>
    <w:tbl>
      <w:tblPr>
        <w:tblStyle w:val="LightShading-Accent1"/>
        <w:tblW w:type="auto" w:w="0"/>
        <w:tblLook w:firstColumn="1" w:firstRow="1" w:lastColumn="0" w:lastRow="0" w:noHBand="0" w:noVBand="1" w:val="04A0"/>
      </w:tblPr>
      <w:tblGrid>
        <w:gridCol w:w="2160"/>
        <w:gridCol w:w="2160"/>
        <w:gridCol w:w="2160"/>
        <w:gridCol w:w="2160"/>
      </w:tblGrid>
      <w:tr>
        <w:tc>
          <w:tcPr>
            <w:tcW w:type="dxa" w:w="2160"/>
          </w:tcPr>
          <w:p>
            <w:r>
              <w:t>指数</w:t>
            </w:r>
          </w:p>
        </w:tc>
        <w:tc>
          <w:tcPr>
            <w:tcW w:type="dxa" w:w="2160"/>
          </w:tcPr>
          <w:p>
            <w:r>
              <w:t>点位</w:t>
            </w:r>
          </w:p>
        </w:tc>
        <w:tc>
          <w:tcPr>
            <w:tcW w:type="dxa" w:w="2160"/>
          </w:tcPr>
          <w:p>
            <w:r>
              <w:t>涨跌幅</w:t>
            </w:r>
          </w:p>
        </w:tc>
        <w:tc>
          <w:tcPr>
            <w:tcW w:type="dxa" w:w="2160"/>
          </w:tcPr>
          <w:p>
            <w:r/>
          </w:p>
        </w:tc>
      </w:tr>
      <w:tr>
        <w:tc>
          <w:tcPr>
            <w:tcW w:type="dxa" w:w="2160"/>
          </w:tcPr>
          <w:p>
            <w:r>
              <w:t>上证指数</w:t>
            </w:r>
          </w:p>
        </w:tc>
        <w:tc>
          <w:tcPr>
            <w:tcW w:type="dxa" w:w="2160"/>
          </w:tcPr>
          <w:p>
            <w:r>
              <w:t>3804.69</w:t>
            </w:r>
          </w:p>
        </w:tc>
        <w:tc>
          <w:tcPr>
            <w:tcW w:type="dxa" w:w="2160"/>
          </w:tcPr>
          <w:p>
            <w:r>
              <w:t>-0.62%</w:t>
            </w:r>
          </w:p>
        </w:tc>
        <w:tc>
          <w:tcPr>
            <w:tcW w:type="dxa" w:w="2160"/>
          </w:tcPr>
          <w:p>
            <w:r/>
          </w:p>
        </w:tc>
      </w:tr>
      <w:tr>
        <w:tc>
          <w:tcPr>
            <w:tcW w:type="dxa" w:w="2160"/>
          </w:tcPr>
          <w:p>
            <w:r>
              <w:t>深证成指</w:t>
            </w:r>
          </w:p>
        </w:tc>
        <w:tc>
          <w:tcPr>
            <w:tcW w:type="dxa" w:w="2160"/>
          </w:tcPr>
          <w:p>
            <w:r>
              <w:t>13285.80</w:t>
            </w:r>
          </w:p>
        </w:tc>
        <w:tc>
          <w:tcPr>
            <w:tcW w:type="dxa" w:w="2160"/>
          </w:tcPr>
          <w:p>
            <w:r>
              <w:t>-2.73%</w:t>
            </w:r>
          </w:p>
        </w:tc>
        <w:tc>
          <w:tcPr>
            <w:tcW w:type="dxa" w:w="2160"/>
          </w:tcPr>
          <w:p>
            <w:r/>
          </w:p>
        </w:tc>
      </w:tr>
      <w:tr>
        <w:tc>
          <w:tcPr>
            <w:tcW w:type="dxa" w:w="2160"/>
          </w:tcPr>
          <w:p>
            <w:r>
              <w:t>创业板指</w:t>
            </w:r>
          </w:p>
        </w:tc>
        <w:tc>
          <w:tcPr>
            <w:tcW w:type="dxa" w:w="2160"/>
          </w:tcPr>
          <w:p>
            <w:r>
              <w:t>3244.62</w:t>
            </w:r>
          </w:p>
        </w:tc>
        <w:tc>
          <w:tcPr>
            <w:tcW w:type="dxa" w:w="2160"/>
          </w:tcPr>
          <w:p>
            <w:r>
              <w:t>-3.97%</w:t>
            </w:r>
          </w:p>
        </w:tc>
        <w:tc>
          <w:tcPr>
            <w:tcW w:type="dxa" w:w="2160"/>
          </w:tcPr>
          <w:p>
            <w:r/>
          </w:p>
        </w:tc>
      </w:tr>
      <w:tr>
        <w:tc>
          <w:tcPr>
            <w:tcW w:type="dxa" w:w="2160"/>
          </w:tcPr>
          <w:p>
            <w:r>
              <w:t>科创50</w:t>
            </w:r>
          </w:p>
        </w:tc>
        <w:tc>
          <w:tcPr>
            <w:tcW w:type="dxa" w:w="2160"/>
          </w:tcPr>
          <w:p>
            <w:r>
              <w:t>1588.41</w:t>
            </w:r>
          </w:p>
        </w:tc>
        <w:tc>
          <w:tcPr>
            <w:tcW w:type="dxa" w:w="2160"/>
          </w:tcPr>
          <w:p>
            <w:r>
              <w:t>-5.38%</w:t>
            </w:r>
          </w:p>
        </w:tc>
        <w:tc>
          <w:tcPr>
            <w:tcW w:type="dxa" w:w="2160"/>
          </w:tcPr>
          <w:p>
            <w:r/>
          </w:p>
        </w:tc>
      </w:tr>
      <w:tr>
        <w:tc>
          <w:tcPr>
            <w:tcW w:type="dxa" w:w="2160"/>
          </w:tcPr>
          <w:p>
            <w:r>
              <w:t>沪深300</w:t>
            </w:r>
          </w:p>
        </w:tc>
        <w:tc>
          <w:tcPr>
            <w:tcW w:type="dxa" w:w="2160"/>
          </w:tcPr>
          <w:p>
            <w:r>
              <w:t>4549.72</w:t>
            </w:r>
          </w:p>
        </w:tc>
        <w:tc>
          <w:tcPr>
            <w:tcW w:type="dxa" w:w="2160"/>
          </w:tcPr>
          <w:p>
            <w:r>
              <w:t>-1.10%</w:t>
            </w:r>
          </w:p>
        </w:tc>
        <w:tc>
          <w:tcPr>
            <w:tcW w:type="dxa" w:w="2160"/>
          </w:tcPr>
          <w:p>
            <w:r/>
          </w:p>
        </w:tc>
      </w:tr>
      <w:tr>
        <w:tc>
          <w:tcPr>
            <w:tcW w:type="dxa" w:w="2160"/>
          </w:tcPr>
          <w:p>
            <w:r>
              <w:t>中证500</w:t>
            </w:r>
          </w:p>
        </w:tc>
        <w:tc>
          <w:tcPr>
            <w:tcW w:type="dxa" w:w="2160"/>
          </w:tcPr>
          <w:p>
            <w:r>
              <w:t>7309.58</w:t>
            </w:r>
          </w:p>
        </w:tc>
        <w:tc>
          <w:tcPr>
            <w:tcW w:type="dxa" w:w="2160"/>
          </w:tcPr>
          <w:p>
            <w:r>
              <w:t>-2.86%</w:t>
            </w:r>
          </w:p>
        </w:tc>
        <w:tc>
          <w:tcPr>
            <w:tcW w:type="dxa" w:w="2160"/>
          </w:tcPr>
          <w:p>
            <w:r/>
          </w:p>
        </w:tc>
      </w:tr>
    </w:tbl>
    <w:p/>
    <w:p>
      <w:r>
        <w:rPr>
          <w:b/>
        </w:rPr>
        <w:t>北向资金：净流出 30.68 亿</w:t>
      </w:r>
      <w:r>
        <w:t xml:space="preserve">  |  沪股通 -9.28 亿  |  数据源: hexin</w:t>
      </w:r>
    </w:p>
    <w:p>
      <w:r>
        <w:rPr>
          <w:b/>
        </w:rPr>
        <w:t>大资金方向（替代两融）：</w:t>
      </w:r>
      <w:r>
        <w:t>30 股聚合净流入 52.26 亿  |  大单净 49.65 亿  |  涨家 21 / 跌家 9</w:t>
      </w:r>
      <w:r>
        <w:rPr>
          <w:color w:val="8B949E"/>
          <w:sz w:val="18"/>
        </w:rPr>
        <w:br/>
        <w:t>注：数据来自新浪资金流（大单/特大单估算），非融资融券官方数据，仅供参考大资金方向</w:t>
      </w:r>
    </w:p>
    <w:p>
      <w:r>
        <w:rPr>
          <w:b/>
        </w:rPr>
        <w:t>宏观数据：</w:t>
      </w:r>
      <w:r>
        <w:t>CPI 1.0%  |  PPI 4.1%  |  PMI 50.3  |  M2 8.0%  |  LPR 1Y 3.0%</w:t>
      </w:r>
    </w:p>
    <w:p/>
    <w:p>
      <w:pPr>
        <w:pStyle w:val="Heading2"/>
      </w:pPr>
      <w:r>
        <w:t>量化分析</w:t>
      </w:r>
    </w:p>
    <w:p>
      <w:pPr>
        <w:pStyle w:val="Heading2"/>
      </w:pPr>
      <w:r>
        <w:rPr>
          <w:rFonts w:ascii="微软雅黑" w:hAnsi="微软雅黑" w:eastAsia="微软雅黑"/>
          <w:color w:val="1A1A1A"/>
          <w:sz w:val="22"/>
        </w:rPr>
        <w:t>📊 市场概览</w:t>
      </w:r>
    </w:p>
    <w:p>
      <w:pPr>
        <w:spacing w:after="120"/>
      </w:pPr>
      <w:r>
        <w:rPr>
          <w:rFonts w:ascii="微软雅黑" w:hAnsi="微软雅黑" w:eastAsia="微软雅黑"/>
          <w:color w:val="1A1A1A"/>
          <w:sz w:val="22"/>
        </w:rPr>
        <w:t>今日市场呈现指数与个股共振下杀的格局，上证指数相对抗跌但深市与双创板块已出现技术性破位。资金从高估值科技成长股向防御性消费与金融板块迁移，形成典型的“二八分化”避险结构。市场情绪进入冰点，超八成个股收跌，亏钱效应显著放大。</w:t>
      </w:r>
    </w:p>
    <w:p>
      <w:pPr>
        <w:pStyle w:val="Heading2"/>
      </w:pPr>
      <w:r>
        <w:rPr>
          <w:rFonts w:ascii="微软雅黑" w:hAnsi="微软雅黑" w:eastAsia="微软雅黑"/>
          <w:color w:val="1A1A1A"/>
          <w:sz w:val="22"/>
        </w:rPr>
        <w:t>📈 核心指标</w:t>
      </w:r>
    </w:p>
    <w:p>
      <w:pPr>
        <w:pStyle w:val="ListBullet"/>
        <w:spacing w:after="40"/>
      </w:pPr>
      <w:r>
        <w:rPr>
          <w:rFonts w:ascii="微软雅黑" w:hAnsi="微软雅黑" w:eastAsia="微软雅黑"/>
          <w:b/>
          <w:color w:val="D29922"/>
          <w:sz w:val="22"/>
        </w:rPr>
        <w:t>涨跌比</w:t>
      </w:r>
      <w:r>
        <w:rPr>
          <w:rFonts w:ascii="微软雅黑" w:hAnsi="微软雅黑" w:eastAsia="微软雅黑"/>
          <w:color w:val="1A1A1A"/>
          <w:sz w:val="22"/>
        </w:rPr>
        <w:t>：193:797（上涨占比仅19.3%），近八成个股下跌，市场宽度极度收缩，为近期情绪冰点。</w:t>
      </w:r>
    </w:p>
    <w:p>
      <w:pPr>
        <w:pStyle w:val="ListBullet"/>
        <w:spacing w:after="40"/>
      </w:pPr>
      <w:r>
        <w:rPr>
          <w:rFonts w:ascii="微软雅黑" w:hAnsi="微软雅黑" w:eastAsia="微软雅黑"/>
          <w:b/>
          <w:color w:val="D29922"/>
          <w:sz w:val="22"/>
        </w:rPr>
        <w:t>成交额</w:t>
      </w:r>
      <w:r>
        <w:rPr>
          <w:rFonts w:ascii="微软雅黑" w:hAnsi="微软雅黑" w:eastAsia="微软雅黑"/>
          <w:color w:val="1A1A1A"/>
          <w:sz w:val="22"/>
        </w:rPr>
        <w:t>：全市场成交额数据缺失，但从主要指数量能观察，上证及深证成交量较前日未显著放大，属缩量下杀，显示恐慌盘尚未充分涌出。</w:t>
      </w:r>
    </w:p>
    <w:p>
      <w:pPr>
        <w:pStyle w:val="ListBullet"/>
        <w:spacing w:after="40"/>
      </w:pPr>
      <w:r>
        <w:rPr>
          <w:rFonts w:ascii="微软雅黑" w:hAnsi="微软雅黑" w:eastAsia="微软雅黑"/>
          <w:b/>
          <w:color w:val="D29922"/>
          <w:sz w:val="22"/>
        </w:rPr>
        <w:t>北向资金</w:t>
      </w:r>
      <w:r>
        <w:rPr>
          <w:rFonts w:ascii="微软雅黑" w:hAnsi="微软雅黑" w:eastAsia="微软雅黑"/>
          <w:color w:val="1A1A1A"/>
          <w:sz w:val="22"/>
        </w:rPr>
        <w:t>：全日净流出30.68亿元，其中深股通净流出21.4亿元，为流出主力。外资对中小创与科技板块态度趋于谨慎。</w:t>
      </w:r>
    </w:p>
    <w:p>
      <w:pPr>
        <w:pStyle w:val="ListBullet"/>
        <w:spacing w:after="40"/>
      </w:pPr>
      <w:r>
        <w:rPr>
          <w:rFonts w:ascii="微软雅黑" w:hAnsi="微软雅黑" w:eastAsia="微软雅黑"/>
          <w:b/>
          <w:color w:val="D29922"/>
          <w:sz w:val="22"/>
        </w:rPr>
        <w:t>大单资金</w:t>
      </w:r>
      <w:r>
        <w:rPr>
          <w:rFonts w:ascii="微软雅黑" w:hAnsi="微软雅黑" w:eastAsia="微软雅黑"/>
          <w:color w:val="1A1A1A"/>
          <w:sz w:val="22"/>
        </w:rPr>
        <w:t>：30只监测样本中大单合计净流入49.65亿，流入家数21家。大资金逆势集中流入少数权重股，结构性护盘意图明显。</w:t>
      </w:r>
    </w:p>
    <w:p>
      <w:pPr>
        <w:pStyle w:val="Heading2"/>
      </w:pPr>
      <w:r>
        <w:rPr>
          <w:rFonts w:ascii="微软雅黑" w:hAnsi="微软雅黑" w:eastAsia="微软雅黑"/>
          <w:color w:val="1A1A1A"/>
          <w:sz w:val="22"/>
        </w:rPr>
        <w:t>🔥 板块热点</w:t>
      </w:r>
    </w:p>
    <w:p>
      <w:pPr>
        <w:pStyle w:val="ListBullet"/>
        <w:spacing w:after="40"/>
      </w:pPr>
      <w:r>
        <w:rPr>
          <w:rFonts w:ascii="微软雅黑" w:hAnsi="微软雅黑" w:eastAsia="微软雅黑"/>
          <w:b/>
          <w:color w:val="D29922"/>
          <w:sz w:val="22"/>
        </w:rPr>
        <w:t>领涨方向</w:t>
      </w:r>
      <w:r>
        <w:rPr>
          <w:rFonts w:ascii="微软雅黑" w:hAnsi="微软雅黑" w:eastAsia="微软雅黑"/>
          <w:color w:val="1A1A1A"/>
          <w:sz w:val="22"/>
        </w:rPr>
        <w:t>：</w:t>
      </w:r>
      <w:r>
        <w:rPr>
          <w:rFonts w:ascii="微软雅黑" w:hAnsi="微软雅黑" w:eastAsia="微软雅黑"/>
          <w:b/>
          <w:color w:val="D29922"/>
          <w:sz w:val="22"/>
        </w:rPr>
        <w:t>酿酒行业（+2.21%）</w:t>
      </w:r>
      <w:r>
        <w:rPr>
          <w:rFonts w:ascii="微软雅黑" w:hAnsi="微软雅黑" w:eastAsia="微软雅黑"/>
          <w:color w:val="1A1A1A"/>
          <w:sz w:val="22"/>
        </w:rPr>
        <w:t>是唯一显著逆市拉升的板块，资金防御性涌入高现金流、业绩确定性强的消费核心资产。</w:t>
      </w:r>
      <w:r>
        <w:rPr>
          <w:rFonts w:ascii="微软雅黑" w:hAnsi="微软雅黑" w:eastAsia="微软雅黑"/>
          <w:b/>
          <w:color w:val="D29922"/>
          <w:sz w:val="22"/>
        </w:rPr>
        <w:t>石油行业（+0.19%）</w:t>
      </w:r>
      <w:r>
        <w:rPr>
          <w:rFonts w:ascii="微软雅黑" w:hAnsi="微软雅黑" w:eastAsia="微软雅黑"/>
          <w:color w:val="1A1A1A"/>
          <w:sz w:val="22"/>
        </w:rPr>
        <w:t>与</w:t>
      </w:r>
      <w:r>
        <w:rPr>
          <w:rFonts w:ascii="微软雅黑" w:hAnsi="微软雅黑" w:eastAsia="微软雅黑"/>
          <w:b/>
          <w:color w:val="D29922"/>
          <w:sz w:val="22"/>
        </w:rPr>
        <w:t>金融行业（+0.15%）</w:t>
      </w:r>
      <w:r>
        <w:rPr>
          <w:rFonts w:ascii="微软雅黑" w:hAnsi="微软雅黑" w:eastAsia="微软雅黑"/>
          <w:color w:val="1A1A1A"/>
          <w:sz w:val="22"/>
        </w:rPr>
        <w:t>小幅收红，护盘资金协同高股息防御逻辑共同作用。</w:t>
      </w:r>
    </w:p>
    <w:p>
      <w:pPr>
        <w:pStyle w:val="ListBullet"/>
        <w:spacing w:after="40"/>
      </w:pPr>
      <w:r>
        <w:rPr>
          <w:rFonts w:ascii="微软雅黑" w:hAnsi="微软雅黑" w:eastAsia="微软雅黑"/>
          <w:b/>
          <w:color w:val="D29922"/>
          <w:sz w:val="22"/>
        </w:rPr>
        <w:t>领跌重灾区</w:t>
      </w:r>
      <w:r>
        <w:rPr>
          <w:rFonts w:ascii="微软雅黑" w:hAnsi="微软雅黑" w:eastAsia="微软雅黑"/>
          <w:color w:val="1A1A1A"/>
          <w:sz w:val="22"/>
        </w:rPr>
        <w:t>：</w:t>
      </w:r>
      <w:r>
        <w:rPr>
          <w:rFonts w:ascii="微软雅黑" w:hAnsi="微软雅黑" w:eastAsia="微软雅黑"/>
          <w:b/>
          <w:color w:val="D29922"/>
          <w:sz w:val="22"/>
        </w:rPr>
        <w:t>次新股（-5.19%）</w:t>
      </w:r>
      <w:r>
        <w:rPr>
          <w:rFonts w:ascii="微软雅黑" w:hAnsi="微软雅黑" w:eastAsia="微软雅黑"/>
          <w:color w:val="1A1A1A"/>
          <w:sz w:val="22"/>
        </w:rPr>
        <w:t>成为情绪退潮的牺牲品，高波动筹码被率先抛售。</w:t>
      </w:r>
      <w:r>
        <w:rPr>
          <w:rFonts w:ascii="微软雅黑" w:hAnsi="微软雅黑" w:eastAsia="微软雅黑"/>
          <w:b/>
          <w:color w:val="D29922"/>
          <w:sz w:val="22"/>
        </w:rPr>
        <w:t>电子器件（-1.23%）</w:t>
      </w:r>
      <w:r>
        <w:rPr>
          <w:rFonts w:ascii="微软雅黑" w:hAnsi="微软雅黑" w:eastAsia="微软雅黑"/>
          <w:color w:val="1A1A1A"/>
          <w:sz w:val="22"/>
        </w:rPr>
        <w:t>、</w:t>
      </w:r>
      <w:r>
        <w:rPr>
          <w:rFonts w:ascii="微软雅黑" w:hAnsi="微软雅黑" w:eastAsia="微软雅黑"/>
          <w:b/>
          <w:color w:val="D29922"/>
          <w:sz w:val="22"/>
        </w:rPr>
        <w:t>机械行业（-0.75%）</w:t>
      </w:r>
      <w:r>
        <w:rPr>
          <w:rFonts w:ascii="微软雅黑" w:hAnsi="微软雅黑" w:eastAsia="微软雅黑"/>
          <w:color w:val="1A1A1A"/>
          <w:sz w:val="22"/>
        </w:rPr>
        <w:t>与</w:t>
      </w:r>
      <w:r>
        <w:rPr>
          <w:rFonts w:ascii="微软雅黑" w:hAnsi="微软雅黑" w:eastAsia="微软雅黑"/>
          <w:b/>
          <w:color w:val="D29922"/>
          <w:sz w:val="22"/>
        </w:rPr>
        <w:t>仪器仪表（-0.59%）</w:t>
      </w:r>
      <w:r>
        <w:rPr>
          <w:rFonts w:ascii="微软雅黑" w:hAnsi="微软雅黑" w:eastAsia="微软雅黑"/>
          <w:color w:val="1A1A1A"/>
          <w:sz w:val="22"/>
        </w:rPr>
        <w:t>等科技制造类板块全线下行，风险偏好急剧收缩。</w:t>
      </w:r>
    </w:p>
    <w:p>
      <w:pPr>
        <w:pStyle w:val="Heading2"/>
      </w:pPr>
      <w:r>
        <w:rPr>
          <w:rFonts w:ascii="微软雅黑" w:hAnsi="微软雅黑" w:eastAsia="微软雅黑"/>
          <w:color w:val="1A1A1A"/>
          <w:sz w:val="22"/>
        </w:rPr>
        <w:t>📉 技术信号</w:t>
      </w:r>
    </w:p>
    <w:p>
      <w:pPr>
        <w:pStyle w:val="ListBullet"/>
        <w:spacing w:after="40"/>
      </w:pPr>
      <w:r>
        <w:rPr>
          <w:rFonts w:ascii="微软雅黑" w:hAnsi="微软雅黑" w:eastAsia="微软雅黑"/>
          <w:b/>
          <w:color w:val="D29922"/>
          <w:sz w:val="22"/>
        </w:rPr>
        <w:t>上证指数</w:t>
      </w:r>
      <w:r>
        <w:rPr>
          <w:rFonts w:ascii="微软雅黑" w:hAnsi="微软雅黑" w:eastAsia="微软雅黑"/>
          <w:color w:val="1A1A1A"/>
          <w:sz w:val="22"/>
        </w:rPr>
        <w:t>：低开后维持低位震荡，日线级别MA5与MA10形成死叉压制。MACD绿柱有效放大，DIF加速下行。该指数正考验3800点整数关口的短期支撑有效性。</w:t>
      </w:r>
    </w:p>
    <w:p>
      <w:pPr>
        <w:pStyle w:val="ListBullet"/>
        <w:spacing w:after="40"/>
      </w:pPr>
      <w:r>
        <w:rPr>
          <w:rFonts w:ascii="微软雅黑" w:hAnsi="微软雅黑" w:eastAsia="微软雅黑"/>
          <w:b/>
          <w:color w:val="D29922"/>
          <w:sz w:val="22"/>
        </w:rPr>
        <w:t>创业板指与科创50</w:t>
      </w:r>
      <w:r>
        <w:rPr>
          <w:rFonts w:ascii="微软雅黑" w:hAnsi="微软雅黑" w:eastAsia="微软雅黑"/>
          <w:color w:val="1A1A1A"/>
          <w:sz w:val="22"/>
        </w:rPr>
        <w:t>：两大指数均收出光脚长阴线，跌穿所有短期均线系统。MACD同步进入死叉状态，KDJ指标J值钝化进入超卖区。技术形态上已形成破位下行趋势，短期难言止跌。</w:t>
      </w:r>
    </w:p>
    <w:p>
      <w:pPr>
        <w:pStyle w:val="ListBullet"/>
        <w:spacing w:after="40"/>
      </w:pPr>
      <w:r>
        <w:rPr>
          <w:rFonts w:ascii="微软雅黑" w:hAnsi="微软雅黑" w:eastAsia="微软雅黑"/>
          <w:b/>
          <w:color w:val="D29922"/>
          <w:sz w:val="22"/>
        </w:rPr>
        <w:t>沪深300与中证500</w:t>
      </w:r>
      <w:r>
        <w:rPr>
          <w:rFonts w:ascii="微软雅黑" w:hAnsi="微软雅黑" w:eastAsia="微软雅黑"/>
          <w:color w:val="1A1A1A"/>
          <w:sz w:val="22"/>
        </w:rPr>
        <w:t>：沪深300跌幅1.1%，相对温和；中证500重挫2.86%，受中小市值成分股拖累严重。两者分化反映出大资金对核心蓝筹与中小盘股的风险偏好存在巨大差异。</w:t>
      </w:r>
    </w:p>
    <w:p>
      <w:pPr>
        <w:pStyle w:val="Heading2"/>
      </w:pPr>
      <w:r>
        <w:rPr>
          <w:rFonts w:ascii="微软雅黑" w:hAnsi="微软雅黑" w:eastAsia="微软雅黑"/>
          <w:color w:val="1A1A1A"/>
          <w:sz w:val="22"/>
        </w:rPr>
        <w:t>🔍 量化视角</w:t>
      </w:r>
    </w:p>
    <w:p>
      <w:pPr>
        <w:pStyle w:val="ListBullet"/>
        <w:spacing w:after="40"/>
      </w:pPr>
      <w:r>
        <w:rPr>
          <w:rFonts w:ascii="微软雅黑" w:hAnsi="微软雅黑" w:eastAsia="微软雅黑"/>
          <w:b/>
          <w:color w:val="D29922"/>
          <w:sz w:val="22"/>
        </w:rPr>
        <w:t>量价结构</w:t>
      </w:r>
      <w:r>
        <w:rPr>
          <w:rFonts w:ascii="微软雅黑" w:hAnsi="微软雅黑" w:eastAsia="微软雅黑"/>
          <w:color w:val="1A1A1A"/>
          <w:sz w:val="22"/>
        </w:rPr>
        <w:t>：今日下跌呈现“缩量普跌”特征。缩量表明市场一致性看空预期较强，惜售资金选择躺平，但抄底资金也缺乏进场意愿。这种结构下若无外力刺激，阴跌或盘跌概率较大。</w:t>
      </w:r>
    </w:p>
    <w:p>
      <w:pPr>
        <w:pStyle w:val="ListBullet"/>
        <w:spacing w:after="40"/>
      </w:pPr>
      <w:r>
        <w:rPr>
          <w:rFonts w:ascii="微软雅黑" w:hAnsi="微软雅黑" w:eastAsia="微软雅黑"/>
          <w:b/>
          <w:color w:val="D29922"/>
          <w:sz w:val="22"/>
        </w:rPr>
        <w:t>资金流向</w:t>
      </w:r>
      <w:r>
        <w:rPr>
          <w:rFonts w:ascii="微软雅黑" w:hAnsi="微软雅黑" w:eastAsia="微软雅黑"/>
          <w:color w:val="1A1A1A"/>
          <w:sz w:val="22"/>
        </w:rPr>
        <w:t>：北向资金连续净流出，与内资大单在权重股上的净流入形成鲜明博弈。内外资分歧加剧，但市场整体流动性重心仍在收缩。</w:t>
      </w:r>
    </w:p>
    <w:p>
      <w:pPr>
        <w:pStyle w:val="ListBullet"/>
        <w:spacing w:after="40"/>
      </w:pPr>
      <w:r>
        <w:rPr>
          <w:rFonts w:ascii="微软雅黑" w:hAnsi="微软雅黑" w:eastAsia="微软雅黑"/>
          <w:b/>
          <w:color w:val="D29922"/>
          <w:sz w:val="22"/>
        </w:rPr>
        <w:t>市场宽度崩塌</w:t>
      </w:r>
      <w:r>
        <w:rPr>
          <w:rFonts w:ascii="微软雅黑" w:hAnsi="微软雅黑" w:eastAsia="微软雅黑"/>
          <w:color w:val="1A1A1A"/>
          <w:sz w:val="22"/>
        </w:rPr>
        <w:t>：涨跌家数比跌破2:8，涨停仅11家而跌停高达80家，创近期极值。强势股处于补跌阶段，市场赚钱效应消失，亏钱效应扩散。跌幅榜前列多为前期热门的半导体、电子等高估值品种，出现“杀估值”行情。</w:t>
      </w:r>
    </w:p>
    <w:p>
      <w:pPr>
        <w:pStyle w:val="Heading2"/>
      </w:pPr>
      <w:r>
        <w:rPr>
          <w:rFonts w:ascii="微软雅黑" w:hAnsi="微软雅黑" w:eastAsia="微软雅黑"/>
          <w:color w:val="1A1A1A"/>
          <w:sz w:val="22"/>
        </w:rPr>
        <w:t>🌐 宏观背景</w:t>
      </w:r>
    </w:p>
    <w:p>
      <w:pPr>
        <w:pStyle w:val="ListBullet"/>
        <w:spacing w:after="40"/>
      </w:pPr>
      <w:r>
        <w:rPr>
          <w:rFonts w:ascii="微软雅黑" w:hAnsi="微软雅黑" w:eastAsia="微软雅黑"/>
          <w:b/>
          <w:color w:val="D29922"/>
          <w:sz w:val="22"/>
        </w:rPr>
        <w:t>通胀与增长</w:t>
      </w:r>
      <w:r>
        <w:rPr>
          <w:rFonts w:ascii="微软雅黑" w:hAnsi="微软雅黑" w:eastAsia="微软雅黑"/>
          <w:color w:val="1A1A1A"/>
          <w:sz w:val="22"/>
        </w:rPr>
        <w:t>：上半年CPI同比仅上涨1.0%，而6月PPI同比高达4.1%，两者剪刀差持续扩大。上游成本高企而下游需求疲弱，中游制造业利润空间被严重挤压，这与今日中小制造企业占比较高的中证500、科创50暴跌逻辑相符。</w:t>
      </w:r>
    </w:p>
    <w:p>
      <w:pPr>
        <w:pStyle w:val="ListBullet"/>
        <w:spacing w:after="40"/>
      </w:pPr>
      <w:r>
        <w:rPr>
          <w:rFonts w:ascii="微软雅黑" w:hAnsi="微软雅黑" w:eastAsia="微软雅黑"/>
          <w:b/>
          <w:color w:val="D29922"/>
          <w:sz w:val="22"/>
        </w:rPr>
        <w:t>流动性</w:t>
      </w:r>
      <w:r>
        <w:rPr>
          <w:rFonts w:ascii="微软雅黑" w:hAnsi="微软雅黑" w:eastAsia="微软雅黑"/>
          <w:color w:val="1A1A1A"/>
          <w:sz w:val="22"/>
        </w:rPr>
        <w:t>：6月末M2同比增长8.0%，M1仅增长4.0%，M1-M2剪刀差显示企业活期存款活期化程度不足，实体经济投资意愿谨慎。社融增量同比少增8606亿元，信贷扩张动力偏弱。</w:t>
      </w:r>
    </w:p>
    <w:p>
      <w:pPr>
        <w:pStyle w:val="ListBullet"/>
        <w:spacing w:after="40"/>
      </w:pPr>
      <w:r>
        <w:rPr>
          <w:rFonts w:ascii="微软雅黑" w:hAnsi="微软雅黑" w:eastAsia="微软雅黑"/>
          <w:b/>
          <w:color w:val="D29922"/>
          <w:sz w:val="22"/>
        </w:rPr>
        <w:t>政策与利率</w:t>
      </w:r>
      <w:r>
        <w:rPr>
          <w:rFonts w:ascii="微软雅黑" w:hAnsi="微软雅黑" w:eastAsia="微软雅黑"/>
          <w:color w:val="1A1A1A"/>
          <w:sz w:val="22"/>
        </w:rPr>
        <w:t>：LPR已连续14个月按兵不动，货币政策处于观察期。在银行净息差（1.4%）处于历史低位的情况下，进一步降息空间受限，政策面短期难有超预期宽松。PMI（制造业50.3）虽处扩张区间但属弱扩张，宏观基本面难给市场提供强效信心支撑。</w:t>
      </w:r>
    </w:p>
    <w:p>
      <w:pPr>
        <w:pStyle w:val="Heading2"/>
      </w:pPr>
      <w:r>
        <w:rPr>
          <w:rFonts w:ascii="微软雅黑" w:hAnsi="微软雅黑" w:eastAsia="微软雅黑"/>
          <w:color w:val="1A1A1A"/>
          <w:sz w:val="22"/>
        </w:rPr>
        <w:t>⚠️ 风险提示</w:t>
      </w:r>
    </w:p>
    <w:p>
      <w:pPr>
        <w:pStyle w:val="ListBullet"/>
        <w:spacing w:after="40"/>
      </w:pPr>
      <w:r>
        <w:rPr>
          <w:rFonts w:ascii="微软雅黑" w:hAnsi="微软雅黑" w:eastAsia="微软雅黑"/>
          <w:b/>
          <w:color w:val="D29922"/>
          <w:sz w:val="22"/>
        </w:rPr>
        <w:t>市场结构分化风险</w:t>
      </w:r>
      <w:r>
        <w:rPr>
          <w:rFonts w:ascii="微软雅黑" w:hAnsi="微软雅黑" w:eastAsia="微软雅黑"/>
          <w:color w:val="1A1A1A"/>
          <w:sz w:val="22"/>
        </w:rPr>
        <w:t>：护盘资金集中于少数酿酒、金融权重股，易形成“指数不跌个股跌”的失真格局。中小市值，尤其是高估值科创与次新股仍面临流动性缺失带来的主跌风险。</w:t>
      </w:r>
    </w:p>
    <w:p>
      <w:pPr>
        <w:pStyle w:val="ListBullet"/>
        <w:spacing w:after="40"/>
      </w:pPr>
      <w:r>
        <w:rPr>
          <w:rFonts w:ascii="微软雅黑" w:hAnsi="微软雅黑" w:eastAsia="微软雅黑"/>
          <w:b/>
          <w:color w:val="D29922"/>
          <w:sz w:val="22"/>
        </w:rPr>
        <w:t>强势股补跌风险</w:t>
      </w:r>
      <w:r>
        <w:rPr>
          <w:rFonts w:ascii="微软雅黑" w:hAnsi="微软雅黑" w:eastAsia="微软雅黑"/>
          <w:color w:val="1A1A1A"/>
          <w:sz w:val="22"/>
        </w:rPr>
        <w:t>：跌停家数激增至80家，显示前期相对抗跌的品种已开始遭遇系统性杀跌，短期需高度警惕高位筹码的松动。</w:t>
      </w:r>
    </w:p>
    <w:p>
      <w:pPr>
        <w:pStyle w:val="ListBullet"/>
        <w:spacing w:after="40"/>
      </w:pPr>
      <w:r>
        <w:rPr>
          <w:rFonts w:ascii="微软雅黑" w:hAnsi="微软雅黑" w:eastAsia="微软雅黑"/>
          <w:b/>
          <w:color w:val="D29922"/>
          <w:sz w:val="22"/>
        </w:rPr>
        <w:t>外部传导风险</w:t>
      </w:r>
      <w:r>
        <w:rPr>
          <w:rFonts w:ascii="微软雅黑" w:hAnsi="微软雅黑" w:eastAsia="微软雅黑"/>
          <w:color w:val="1A1A1A"/>
          <w:sz w:val="22"/>
        </w:rPr>
        <w:t>：隔夜美股三大股指普跌（道指-2.19%），全球风险资产联动性增强，需关注外围市场动荡对A股情绪面的持续压制。</w:t>
      </w:r>
    </w:p>
    <w:p/>
    <w:p>
      <w:r>
        <w:rPr>
          <w:color w:val="8B949E"/>
          <w:sz w:val="16"/>
        </w:rPr>
        <w:t>⚠️ 免责声明：本报告由 AI 自动生成，仅供参考，不构成任何投资建议。投资有风险，入市需谨慎。报告中的数据来源于公开接口，不对其准确性做任何保证。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微软雅黑" w:hAnsi="微软雅黑" w:eastAsia="微软雅黑"/>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