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3877.34</w:t>
            </w:r>
          </w:p>
        </w:tc>
        <w:tc>
          <w:tcPr>
            <w:tcW w:type="dxa" w:w="2160"/>
          </w:tcPr>
          <w:p>
            <w:r>
              <w:t>-0.71%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13750.11</w:t>
            </w:r>
          </w:p>
        </w:tc>
        <w:tc>
          <w:tcPr>
            <w:tcW w:type="dxa" w:w="2160"/>
          </w:tcPr>
          <w:p>
            <w:r>
              <w:t>-2.44%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3421.48</w:t>
            </w:r>
          </w:p>
        </w:tc>
        <w:tc>
          <w:tcPr>
            <w:tcW w:type="dxa" w:w="2160"/>
          </w:tcPr>
          <w:p>
            <w:r>
              <w:t>-3.50%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1599.85</w:t>
            </w:r>
          </w:p>
        </w:tc>
        <w:tc>
          <w:tcPr>
            <w:tcW w:type="dxa" w:w="2160"/>
          </w:tcPr>
          <w:p>
            <w:r>
              <w:t>-3.25%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4560.97</w:t>
            </w:r>
          </w:p>
        </w:tc>
        <w:tc>
          <w:tcPr>
            <w:tcW w:type="dxa" w:w="2160"/>
          </w:tcPr>
          <w:p>
            <w:r>
              <w:t>-1.25%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7692.86</w:t>
            </w:r>
          </w:p>
        </w:tc>
        <w:tc>
          <w:tcPr>
            <w:tcW w:type="dxa" w:w="2160"/>
          </w:tcPr>
          <w:p>
            <w:r>
              <w:t>-2.06%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59.8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-2.59 亿  |  大单净 -2.64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本时段核心变化是：指数放量加速下杀，创业板/科创50领跌，市场宽度极度收缩，防御性板块逆势抗跌。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A股呈现加速下跌格局，主要指数全线走弱，深市及成长板块跌幅显著大于沪市。上证指数午盘报3877.34点，跌0.71%，较上一时段扩大0.38个百分点；深证成指跌2.44%，扩大0.77个百分点；创业板指跌3.50%，扩大0.83个百分点；科创50跌3.25%，扩大0.91个百分点。市场处于动能加速阶段，而非衰竭或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全市场1000只样本中仅121只上涨、874只下跌，上涨比例12.1%，涨跌比约1:7.2，赚钱效应极差。涨停6家、跌停11家，跌停家数超过涨停，短线情绪冰点。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半日成交13710亿元，较上一时段放量36.1%，量能异常放大。放量下跌表明抛压集中释放，而非缩量阴跌，属于主动性卖出主导。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外资监测（二维框架）：</w:t>
      </w:r>
      <w:r>
        <w:rPr>
          <w:rFonts w:ascii="微软雅黑" w:hAnsi="微软雅黑" w:eastAsia="微软雅黑"/>
          <w:color w:val="1A1A1A"/>
          <w:sz w:val="22"/>
        </w:rPr>
        <w:t>南向资金半日净买入59.83亿元，较上一时段增加2.4亿元，处于大幅净流入区间（&gt;30亿）。南向大幅净买入通常对应内资南下、A股情绪偏弱。外部联动方面，恒生科技跌3.90%，恒生指数跌2.12%，离岸人民币微贬0.06%，三者一致看空，外部共识得分-6.9，置信度强。南向大幅净买入+外部联动看空=内外资同步偏空，信号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资金流参考：</w:t>
      </w:r>
      <w:r>
        <w:rPr>
          <w:rFonts w:ascii="微软雅黑" w:hAnsi="微软雅黑" w:eastAsia="微软雅黑"/>
          <w:color w:val="1A1A1A"/>
          <w:sz w:val="22"/>
        </w:rPr>
        <w:t>大单/特大单估算净流出2.64亿元，样本内流出家数20家、流入10家（数据滞后至8月21日，仅供参考），主力资金短期偏谨慎。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呈现典型防御特征：酿酒行业逆势上涨1.35%，金融行业微涨0.16%，煤炭行业涨0.15%，开发区板块微涨0.17%。资金在指数加速下杀阶段向低估值、高股息及消费防御品种集中，酿酒作为传统避险方向成为唯一亮点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跌板块集中在成长与题材方向：次新股跌2.28%居首，电子器件跌0.91%，玻璃行业跌0.67%，机械行业跌0.65%，电子信息、医疗器械等跌幅亦在0.5%附近。次新股及电子产业链调整幅度较大，与创业板、科创50领跌相互印证，反映市场风险偏好急剧收缩。板块轮动由前期进攻型向防御型快速切换，并非健康轮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受数据接口限制，本报告未获取到分时MA/MACD/RSI/KDJ具体数值，以下从价格行为与量能维度推演：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上证指数较上一时段下跌0.38个百分点，深成指扩大0.77个百分点，创业板指扩大0.83个百分点，科创50扩大0.91个百分点，各指数跌幅同步加速，短期均线系统呈空头排列。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指数跌破开盘价且持续走低，早盘高点未能收复，分时重心不断下移，属于典型动能加速下跌形态，未出现止跌企稳信号。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放量配合下跌，量价关系为下跌有量，说明卖盘主动性强，短期技术面偏空。若午后不能快速缩量或出现权重护盘拉升，超卖后或仍有惯性命中支撑位。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上涨比例仅12.1%，为极度弱势水平。较指数跌幅，市场宽度恶化更严重，说明权重股部分护盘掩盖了个股普跌的真实杀伤力。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半日成交额13710亿元，较上一时段+36.1%，量能异常放大。放量下跌不属于量价背离，而是典型的量价配合下行，显示恐慌盘和获利盘集中出逃。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资金流向结构：</w:t>
      </w:r>
      <w:r>
        <w:rPr>
          <w:rFonts w:ascii="微软雅黑" w:hAnsi="微软雅黑" w:eastAsia="微软雅黑"/>
          <w:color w:val="1A1A1A"/>
          <w:sz w:val="22"/>
        </w:rPr>
        <w:t>大单资金净流出，叠加南向资金大幅净买入，A股内部和跨境资金均呈现流出/避险特征，资金面短期不友好。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市场微观结构：</w:t>
      </w:r>
      <w:r>
        <w:rPr>
          <w:rFonts w:ascii="微软雅黑" w:hAnsi="微软雅黑" w:eastAsia="微软雅黑"/>
          <w:color w:val="1A1A1A"/>
          <w:sz w:val="22"/>
        </w:rPr>
        <w:t>涨停6家对比跌停11家，市场高度板稀缺，连板情绪弱，短线活跃资金收缩明显。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宏观数据显示经济基本面承压：7月制造业PMI为49.2，跌破荣枯线，为5个月最低；服务业PMI为49.3，同步回落。CPI同比0.5%、核心CPI0.9%，均较前值回落，PPI同比3.5%但环比-0.7%，国际油价下跌和施工淡季拖累明显。金融数据方面，M2同比8.0%、社融存量同比7.4%，社融增量同比少增8606亿元，实体融资需求偏弱。LPR连续14个月维持不变，商业银行净息差处于历史低位1.4%。整体来看，经济内生动力不足、通胀温和、信用扩张乏力，政策托底预期存在但尚未兑现，对权益市场风险偏好形成压制。当前A股调整与宏观数据走弱形成共振，午后需关注是否出现政策面或流动性预期的边际变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动能加速下跌未止：</w:t>
      </w:r>
      <w:r>
        <w:rPr>
          <w:rFonts w:ascii="微软雅黑" w:hAnsi="微软雅黑" w:eastAsia="微软雅黑"/>
          <w:color w:val="1A1A1A"/>
          <w:sz w:val="22"/>
        </w:rPr>
        <w:t>各指数较上一时段跌幅扩大，放量下杀，午后存在惯性下探风险，不宜盲目抄底。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市场宽度极端：</w:t>
      </w:r>
      <w:r>
        <w:rPr>
          <w:rFonts w:ascii="微软雅黑" w:hAnsi="微软雅黑" w:eastAsia="微软雅黑"/>
          <w:color w:val="1A1A1A"/>
          <w:sz w:val="22"/>
        </w:rPr>
        <w:t>上涨比例仅12.1%，跌停家数超过涨停，若午后不能修复宽度，指数反弹可能缺乏持续力。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内外资同步偏空：</w:t>
      </w:r>
      <w:r>
        <w:rPr>
          <w:rFonts w:ascii="微软雅黑" w:hAnsi="微软雅黑" w:eastAsia="微软雅黑"/>
          <w:color w:val="1A1A1A"/>
          <w:sz w:val="22"/>
        </w:rPr>
        <w:t>南向资金大幅净买入+外部联动一致看空，情绪面短期难以逆转，需警惕港股及离岸人民币继续走弱对A股的传导。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高估值成长板块风险：</w:t>
      </w:r>
      <w:r>
        <w:rPr>
          <w:rFonts w:ascii="微软雅黑" w:hAnsi="微软雅黑" w:eastAsia="微软雅黑"/>
          <w:color w:val="1A1A1A"/>
          <w:sz w:val="22"/>
        </w:rPr>
        <w:t>创业板、科创50领跌，次新股及电子产业链深度调整，若风险偏好进一步回落，相关板块可能继续杀估值。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量能异常放大：</w:t>
      </w:r>
      <w:r>
        <w:rPr>
          <w:rFonts w:ascii="微软雅黑" w:hAnsi="微软雅黑" w:eastAsia="微软雅黑"/>
          <w:color w:val="1A1A1A"/>
          <w:sz w:val="22"/>
        </w:rPr>
        <w:t>半日成交13710亿元，若午后继续放量但指数不能收窄跌幅，则说明抛压尚未出清，后续调整时间或延长。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