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2026-08-20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3905.48</w:t>
            </w:r>
          </w:p>
        </w:tc>
        <w:tc>
          <w:tcPr>
            <w:tcW w:type="dxa" w:w="2160"/>
          </w:tcPr>
          <w:p>
            <w:r>
              <w:t>+0.28%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14024.30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3509.72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1667.57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4598.45</w:t>
            </w:r>
          </w:p>
        </w:tc>
        <w:tc>
          <w:tcPr>
            <w:tcW w:type="dxa" w:w="2160"/>
          </w:tcPr>
          <w:p>
            <w:r>
              <w:t>+0.21%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7880.05</w:t>
            </w:r>
          </w:p>
        </w:tc>
        <w:tc>
          <w:tcPr>
            <w:tcW w:type="dxa" w:w="2160"/>
          </w:tcPr>
          <w:p>
            <w:r>
              <w:t>+1.24%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0.8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16.19 亿  |  大单净 10.35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本时段核心变化是：医药+次新双主线接棒领涨，但指数边际动能衰竭、科创50高位滞涨，量价背离苗头显现。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 A 股呈现“权重搭台、题材唱戏”格局：上证指数 +0.28% 偏弱，深证成指 +0.97%、创业板指 +1.04%、中证500 +1.24% 表现强势，市场宽度（监测样本1000只）上涨比例 88.4%，涨停29家、跌停仅4家，赚钱效应维持高位。但较上一时段（10:32），多数指数涨幅收窄，上攻动能边际衰减；成交额 13710 亿，较上一时段放量 29.7%，较昨日同期缩量 15.3%，量能高位但未再创新高。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涨跌家数：</w:t>
      </w:r>
      <w:r>
        <w:rPr>
          <w:rFonts w:ascii="微软雅黑" w:hAnsi="微软雅黑" w:eastAsia="微软雅黑"/>
          <w:color w:val="1A1A1A"/>
          <w:sz w:val="22"/>
        </w:rPr>
        <w:t>884 涨 / 112 跌 / 4 平，上涨比例 88.4%，涨停 29 家，跌停 4 家——市场宽度极强，短线情绪偏热。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13710 亿（半日），较上一时段 +29.7% 放量，较昨日同期 -15.3% 缩量。放量来自早盘，但较昨日峰值仍缩，量价出现背离。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南向资金：</w:t>
      </w:r>
      <w:r>
        <w:rPr>
          <w:rFonts w:ascii="微软雅黑" w:hAnsi="微软雅黑" w:eastAsia="微软雅黑"/>
          <w:color w:val="1A1A1A"/>
          <w:sz w:val="22"/>
        </w:rPr>
        <w:t>-0.75 亿（净卖出），较上一时段变化 -6.6 亿，较昨日同期 +6.8 亿（净卖出收窄）。内资未继续大幅南下，A股分流压力减轻。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外部联动：</w:t>
      </w:r>
      <w:r>
        <w:rPr>
          <w:rFonts w:ascii="微软雅黑" w:hAnsi="微软雅黑" w:eastAsia="微软雅黑"/>
          <w:color w:val="1A1A1A"/>
          <w:sz w:val="22"/>
        </w:rPr>
        <w:t>离岸人民币升值 0.1%，恒生科技 +0.99%，恒生指数 +0.84%，三者同向看多，外部风险偏好较好。南向小幅净卖出 + 外部看多 = 内外资方向偏多，但南向信号弱。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领涨板块快速轮动：</w:t>
      </w:r>
      <w:r>
        <w:rPr>
          <w:rFonts w:ascii="微软雅黑" w:hAnsi="微软雅黑" w:eastAsia="微软雅黑"/>
          <w:b/>
          <w:color w:val="D29922"/>
          <w:sz w:val="22"/>
        </w:rPr>
        <w:t>次新股（+1.05%）、医疗器械（+0.65%）、生物制药（+0.65%）</w:t>
      </w:r>
      <w:r>
        <w:rPr>
          <w:rFonts w:ascii="微软雅黑" w:hAnsi="微软雅黑" w:eastAsia="微软雅黑"/>
          <w:color w:val="1A1A1A"/>
          <w:sz w:val="22"/>
        </w:rPr>
        <w:t>接替上一时段的诊断服务、其他生物制品、生物制品。涨停个股高度集中于生物医药（康希诺、沃森生物、智飞生物、华大基因、康泰生物等，且多为20cm涨停），次新股 N绿控 涨 325% 领跑，显示医药+次新成为双主线，资金集中涌入，短线爆发力强。领跌方面，酿酒行业 -0.46%、陶瓷行业 -0.23%、飞机制造 -0.20%、煤炭行业 -0.09%，防御性消费与周期品种走弱，资金从高位或老热点切换。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指数普遍高开低走，午盘处于日内低位区。上证指数 3905.48 点，+0.28%，较上一时段 -0.05pp，横盘延续；深证成指、创业板指、中证500 在昨日同期大幅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